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7"/>
        <w:jc w:val="center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ПКГУП «КЭС»</w:t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1.1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ПРОВЕДЕНИЕ КОНТРОЛЬНЫХ, ВНЕОЧЕРЕДНЫХ И ИНЫХ ЗАМЕРОВ ПОТОКОРАСПРЕДЕЛЕНИЯ, НАГРУЗОК И УРОВНЕЙ НАПРЯЖЕНИЯ НА ОБЪЕКТАХ ПОТРЕБИТЕЛЯ И ОБЪЕКТАХ ЭЛЕКТРОСЕТЕВОГО ХОЗЯЙСТВА СЕТЕВОЙ ОРГАНИЗАЦИИ</w:t>
      </w:r>
      <w:r/>
    </w:p>
    <w:p>
      <w:pPr>
        <w:pStyle w:val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 ЗАЯВИТЕЛЕЙ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</w:t>
      </w:r>
      <w:r/>
    </w:p>
    <w:p>
      <w:pPr>
        <w:pStyle w:val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лата не взымается.</w:t>
      </w:r>
      <w:r/>
    </w:p>
    <w:p>
      <w:pPr>
        <w:pStyle w:val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</w:t>
      </w:r>
      <w:r>
        <w:rPr>
          <w:rFonts w:ascii="Times New Roman" w:hAnsi="Times New Roman" w:cs="Times New Roman"/>
          <w:sz w:val="24"/>
          <w:szCs w:val="24"/>
        </w:rPr>
        <w:t xml:space="preserve">. По заданию диспетчерских центров системного оператора на объектах потребителя и объектах электросетевого хозяйства </w:t>
      </w:r>
      <w:r>
        <w:rPr>
          <w:rFonts w:ascii="Times New Roman" w:hAnsi="Times New Roman" w:cs="Times New Roman"/>
          <w:sz w:val="24"/>
          <w:szCs w:val="24"/>
        </w:rPr>
        <w:t xml:space="preserve">ПКГУП «КЭС»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проведение контрольных, внеочередных и иных замеров </w:t>
      </w:r>
      <w:r>
        <w:rPr>
          <w:rFonts w:ascii="Times New Roman" w:hAnsi="Times New Roman" w:cs="Times New Roman"/>
          <w:sz w:val="24"/>
          <w:szCs w:val="24"/>
        </w:rPr>
        <w:t xml:space="preserve">потокораспределения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, нагрузок и уровней напряжения:</w:t>
      </w:r>
      <w:r/>
    </w:p>
    <w:p>
      <w:pPr>
        <w:pStyle w:val="67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замеры - 2 раза в год в третью среду июня и третью среду декабря;</w:t>
      </w:r>
      <w:r/>
    </w:p>
    <w:p>
      <w:pPr>
        <w:pStyle w:val="672"/>
        <w:numPr>
          <w:ilvl w:val="0"/>
          <w:numId w:val="4"/>
        </w:numPr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внеочередные замеры нагрузок по присоединениям и </w:t>
      </w:r>
      <w:r>
        <w:rPr>
          <w:rFonts w:ascii="Times New Roman" w:hAnsi="Times New Roman" w:cs="Times New Roman"/>
          <w:sz w:val="24"/>
          <w:szCs w:val="24"/>
        </w:rPr>
        <w:t xml:space="preserve">энергопринимающим</w:t>
      </w:r>
      <w:r>
        <w:rPr>
          <w:rFonts w:ascii="Times New Roman" w:hAnsi="Times New Roman" w:cs="Times New Roman"/>
          <w:sz w:val="24"/>
          <w:szCs w:val="24"/>
        </w:rPr>
        <w:t xml:space="preserve"> устройствам, подключенным под действие противоаварийной автоматики и (или) включенным в графики аварийного ограничения режима потребления электрической энергии (мощности) - не чаще чем 1 раз в месяц;</w:t>
      </w:r>
      <w:r/>
    </w:p>
    <w:p>
      <w:pPr>
        <w:pStyle w:val="67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замеры - не чаще чем 1 раз в квартал.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результаты проведения контрольных, внеочередных и иных замеров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ОКАЗАНИЯ УСЛУГИ (ПРОЦЕССА):</w:t>
      </w:r>
      <w:r/>
    </w:p>
    <w:tbl>
      <w:tblPr>
        <w:tblStyle w:val="687"/>
        <w:tblW w:w="488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9"/>
        <w:gridCol w:w="1834"/>
        <w:gridCol w:w="2602"/>
        <w:gridCol w:w="2599"/>
        <w:gridCol w:w="2265"/>
        <w:gridCol w:w="1763"/>
        <w:gridCol w:w="2630"/>
      </w:tblGrid>
      <w:tr>
        <w:trPr>
          <w:tblHeader/>
        </w:trPr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bottom w:val="single" w:color="4F81BD" w:themeColor="accent1" w:sz="4" w:space="0"/>
            </w:tcBorders>
            <w:tcW w:w="16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№</w:t>
            </w:r>
            <w:r/>
          </w:p>
        </w:tc>
        <w:tc>
          <w:tcPr>
            <w:shd w:val="clear" w:color="auto" w:fill="d6e3bc" w:themeFill="accent3" w:themeFillTint="66"/>
            <w:tcBorders>
              <w:bottom w:val="single" w:color="4F81BD" w:themeColor="accent1" w:sz="4" w:space="0"/>
              <w:right w:val="single" w:color="FFFFFF" w:themeColor="background1" w:sz="4" w:space="0"/>
            </w:tcBorders>
            <w:tcW w:w="64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Этап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9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Условие этапа</w:t>
            </w:r>
            <w:r/>
          </w:p>
        </w:tc>
        <w:tc>
          <w:tcPr>
            <w:shd w:val="clear" w:color="auto" w:fill="d6e3bc" w:themeFill="accent3" w:themeFillTint="66"/>
            <w:tcBorders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91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Содержание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7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Форма предоставления</w:t>
            </w:r>
            <w:r/>
          </w:p>
        </w:tc>
        <w:tc>
          <w:tcPr>
            <w:shd w:val="clear" w:color="auto" w:fill="d6e3bc" w:themeFill="accent3" w:themeFillTint="66"/>
            <w:tcBorders>
              <w:left w:val="single" w:color="FFFFFF" w:themeColor="background1" w:sz="4" w:space="0"/>
              <w:bottom w:val="single" w:color="4F81BD" w:themeColor="accent1" w:sz="4" w:space="0"/>
              <w:right w:val="single" w:color="FFFFFF" w:themeColor="background1" w:sz="4" w:space="0"/>
            </w:tcBorders>
            <w:tcW w:w="62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Срок исполнения</w:t>
            </w:r>
            <w:r/>
          </w:p>
        </w:tc>
        <w:tc>
          <w:tcPr>
            <w:shd w:val="clear" w:color="auto" w:fill="d6e3bc" w:themeFill="accent3" w:themeFillTint="66"/>
            <w:tcBorders>
              <w:top w:val="single" w:color="4F81BD" w:themeColor="accent1" w:sz="8" w:space="0"/>
              <w:left w:val="single" w:color="FFFFFF" w:themeColor="background1" w:sz="4" w:space="0"/>
              <w:bottom w:val="single" w:color="4F81BD" w:themeColor="accent1" w:sz="4" w:space="0"/>
            </w:tcBorders>
            <w:tcW w:w="92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 xml:space="preserve">Ссылка на нормативно правовой акт</w:t>
            </w:r>
            <w:r/>
          </w:p>
        </w:tc>
      </w:tr>
      <w:tr>
        <w:trPr/>
        <w:tc>
          <w:tcPr>
            <w:tcBorders>
              <w:top w:val="single" w:color="4F81BD" w:themeColor="accent1" w:sz="4" w:space="0"/>
            </w:tcBorders>
            <w:tcW w:w="16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64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Получение задания системного оператора на проведение контрольных, внеочередных и иных замеров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потокораспре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-деления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нагрузок и уровней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напряжения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91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917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Получение задания системного оператора на проведение контрольных, внеочередных и иных замеров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потокораспре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-деления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нагрузок и уровней напряжения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799" w:type="pct"/>
            <w:textDirection w:val="lrTb"/>
            <w:noWrap w:val="false"/>
          </w:tcPr>
          <w:p>
            <w:pPr>
              <w:rPr>
                <w:rFonts w:ascii="Courier New" w:hAnsi="Courier New" w:cs="Courier New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Письменное задание о проведении замера заказным письмом с уведомлением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622" w:type="pct"/>
            <w:textDirection w:val="lrTb"/>
            <w:noWrap w:val="false"/>
          </w:tcPr>
          <w:p>
            <w:pPr>
              <w:widowControl w:val="off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 рабочих дней</w:t>
            </w:r>
            <w:r/>
          </w:p>
        </w:tc>
        <w:tc>
          <w:tcPr>
            <w:tcBorders>
              <w:top w:val="single" w:color="4F81BD" w:themeColor="accent1" w:sz="4" w:space="0"/>
            </w:tcBorders>
            <w:tcW w:w="92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 135 Основ функционирования розничных рынков электрической энергии</w:t>
            </w:r>
            <w:r>
              <w:rPr>
                <w:rStyle w:val="686"/>
                <w:rFonts w:ascii="Times New Roman" w:hAnsi="Times New Roman" w:eastAsia="Times New Roman" w:cs="Times New Roman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 6.2.8 Правил технической эксплуатации электрических станций и сетей</w:t>
            </w:r>
            <w:r>
              <w:rPr>
                <w:rStyle w:val="686"/>
                <w:rFonts w:ascii="Times New Roman" w:hAnsi="Times New Roman" w:eastAsia="Times New Roman" w:cs="Times New Roman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/>
          </w:p>
        </w:tc>
      </w:tr>
      <w:tr>
        <w:trPr/>
        <w:tc>
          <w:tcPr>
            <w:tcW w:w="16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2</w:t>
            </w:r>
            <w:r/>
          </w:p>
        </w:tc>
        <w:tc>
          <w:tcPr>
            <w:tcW w:w="64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Направление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«КЭС»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потребителю задания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проведении контрольного замера на объектах электросетевого хозяйства в соответствии с заданием системного оператора </w:t>
            </w:r>
            <w:r/>
          </w:p>
        </w:tc>
        <w:tc>
          <w:tcPr>
            <w:tcW w:w="91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Получение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«КЭС»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задания от системного оператора</w:t>
            </w:r>
            <w:r>
              <w:rPr>
                <w:rFonts w:ascii="Times New Roman" w:hAnsi="Times New Roman" w:cs="Times New Roman"/>
              </w:rPr>
              <w:t xml:space="preserve">   </w:t>
            </w:r>
            <w:r/>
          </w:p>
        </w:tc>
        <w:tc>
          <w:tcPr>
            <w:tcW w:w="917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Запрос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«КЭС»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 проведении контрольного замера на объектах электросетевого хозяйства в соответствии с заданием системного оператора</w:t>
            </w:r>
            <w:r/>
          </w:p>
        </w:tc>
        <w:tc>
          <w:tcPr>
            <w:tcW w:w="799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Письменное требование о проведении замера заказным письмом с уведомлением</w:t>
            </w:r>
            <w:r/>
          </w:p>
        </w:tc>
        <w:tc>
          <w:tcPr>
            <w:tcW w:w="62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 рабочих дней</w:t>
            </w:r>
            <w:r/>
          </w:p>
        </w:tc>
        <w:tc>
          <w:tcPr>
            <w:tcW w:w="92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 135 Основ функционирования розничных рынков электрической энергии.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 6.2.8 Правил технической эксплуатации электрических станций и сетей</w:t>
            </w:r>
            <w:r/>
          </w:p>
        </w:tc>
      </w:tr>
      <w:tr>
        <w:trPr/>
        <w:tc>
          <w:tcPr>
            <w:tcW w:w="16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3</w:t>
            </w:r>
            <w:r/>
          </w:p>
        </w:tc>
        <w:tc>
          <w:tcPr>
            <w:tcW w:w="64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Проведение потребителем замеров на принадлежащих потребителю объектах (устройствах)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и оформление результатов  замеров</w:t>
            </w:r>
            <w:r/>
          </w:p>
        </w:tc>
        <w:tc>
          <w:tcPr>
            <w:tcW w:w="91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Получение потребителем задания о проведении контрольного замера от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«КЭС»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91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потребителем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замеров на принадлежащих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ему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объектах (устройствах), в том числе обеспеч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ение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беспрепятственн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доступ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уполномоченных лиц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«КЭС»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к соответствующим объектам электросетевого хозяйства (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энергопринимающим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устройствам) и возможност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временной (на период проведения замера) установки на них средств измерений, позволяющих измерять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почасовые объемы потребления электрической энергии, и (или) прове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дения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соответствующие измерения самостоятельно с оформлением результатов замеров</w:t>
            </w:r>
            <w:r/>
          </w:p>
        </w:tc>
        <w:tc>
          <w:tcPr>
            <w:tcW w:w="79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Протоколы замеров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установленном системным оператором формате</w:t>
            </w:r>
            <w:r/>
          </w:p>
        </w:tc>
        <w:tc>
          <w:tcPr>
            <w:tcW w:w="62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срок, предусмотренный в задании системного оператора</w:t>
            </w:r>
            <w:r/>
          </w:p>
        </w:tc>
        <w:tc>
          <w:tcPr>
            <w:tcW w:w="92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 135 Основ функционирования розничных рынков электрической энергии.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 6.2.8 Правил технической эксплуатации электрических станций и сетей</w:t>
            </w:r>
            <w:r/>
          </w:p>
        </w:tc>
      </w:tr>
      <w:tr>
        <w:trPr/>
        <w:tc>
          <w:tcPr>
            <w:tcW w:w="16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548dd4" w:themeColor="text2" w:themeTint="99"/>
                <w:lang w:eastAsia="ru-RU"/>
              </w:rPr>
              <w:t xml:space="preserve">4</w:t>
            </w:r>
            <w:r/>
          </w:p>
        </w:tc>
        <w:tc>
          <w:tcPr>
            <w:tcW w:w="64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Предоставление потребителем  результатов проведенных контрольных и внеочередных замеров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«КЭС»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91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W w:w="917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Предоставление потребителем  результатов проведенных контрольных и внеочередных замеров 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«КЭС»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для направления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«КЭС»</w:t>
            </w:r>
            <w:r/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результатов в диспетчерские центры системного оператора в соответствии с заданием</w:t>
            </w:r>
            <w:r/>
          </w:p>
        </w:tc>
        <w:tc>
          <w:tcPr>
            <w:tcW w:w="79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Результаты замеров в установленном системным оператором формате</w:t>
            </w:r>
            <w:r/>
          </w:p>
        </w:tc>
        <w:tc>
          <w:tcPr>
            <w:tcW w:w="62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течение 10 рабочих дней со дня проведения соответствующего замера</w:t>
            </w:r>
            <w:r/>
          </w:p>
        </w:tc>
        <w:tc>
          <w:tcPr>
            <w:tcW w:w="92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 135 Основ функционирования розничных рынков электрической энергии.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 6.2.8 Правил технической эксплуатации электрических станций и сетей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r>
      <w:r/>
    </w:p>
    <w:p>
      <w:pPr>
        <w:jc w:val="both"/>
        <w:spacing w:after="6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</w:rPr>
        <w:t xml:space="preserve">Номер телефонного центра обслуживания </w:t>
      </w:r>
      <w:r>
        <w:rPr>
          <w:rFonts w:ascii="Times New Roman" w:hAnsi="Times New Roman" w:cs="Times New Roman"/>
        </w:rPr>
        <w:t xml:space="preserve">ПКГУП «КЭС»</w:t>
      </w:r>
      <w:r>
        <w:rPr>
          <w:rFonts w:ascii="Times New Roman" w:hAnsi="Times New Roman" w:cs="Times New Roman"/>
        </w:rPr>
        <w:t xml:space="preserve"> в г. Кунгур 8(34271)20298; в г. Чернушка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8(34261)40909</w:t>
      </w:r>
      <w:r/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 </w:t>
      </w:r>
      <w:r>
        <w:rPr>
          <w:rFonts w:ascii="Times New Roman" w:hAnsi="Times New Roman" w:cs="Times New Roman"/>
        </w:rPr>
        <w:t xml:space="preserve">ПКГУП «КЭС» в г. Кунгур </w:t>
      </w:r>
      <w:r>
        <w:rPr>
          <w:rFonts w:ascii="Times New Roman" w:hAnsi="Times New Roman" w:cs="Times New Roman"/>
          <w:color w:val="auto"/>
          <w:sz w:val="24"/>
          <w:szCs w:val="24"/>
        </w:rPr>
      </w:r>
      <w:hyperlink r:id="rId10" w:tooltip="http://delo_kungur@chernseti.ru" w:history="1">
        <w:r>
          <w:rPr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delo_kungur@chernseti.ru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г. Чернушка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info@chernseti.ru</w:t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ind w:left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jc w:val="both"/>
        <w:spacing w:after="0" w:line="240" w:lineRule="auto"/>
      </w:pPr>
      <w:r>
        <w:rPr>
          <w:rStyle w:val="68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>
        <w:rPr>
          <w:rFonts w:ascii="Times New Roman" w:hAnsi="Times New Roman" w:cs="Times New Roman"/>
          <w:sz w:val="20"/>
          <w:szCs w:val="20"/>
        </w:rPr>
        <w:t xml:space="preserve">постановлением Правительства РФ от 04.05.2012 № 442</w:t>
      </w:r>
      <w:r/>
    </w:p>
  </w:footnote>
  <w:footnote w:id="3">
    <w:p>
      <w:pPr>
        <w:jc w:val="both"/>
        <w:spacing w:after="0" w:line="240" w:lineRule="auto"/>
      </w:pPr>
      <w:r>
        <w:rPr>
          <w:rStyle w:val="686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Правила технической эксплуатации электрических станций и сетей Российской Федерации, утвержденные приказом Минэнерго России от 19.06.2003 № 229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7" w:hanging="360"/>
      </w:pPr>
      <w:rPr>
        <w:rFonts w:hint="default" w:asciiTheme="minorHAnsi" w:hAnsiTheme="minorHAnsi" w:eastAsiaTheme="minorHAnsi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9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5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1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99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5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1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8"/>
    <w:link w:val="667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6"/>
    <w:next w:val="66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6"/>
    <w:next w:val="66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6"/>
    <w:next w:val="66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6"/>
    <w:next w:val="66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6"/>
    <w:next w:val="66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6"/>
    <w:next w:val="66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6"/>
    <w:next w:val="66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6"/>
    <w:next w:val="66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6"/>
    <w:next w:val="66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6"/>
    <w:next w:val="66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6"/>
    <w:next w:val="66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6"/>
    <w:next w:val="66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8"/>
    <w:link w:val="42"/>
    <w:uiPriority w:val="99"/>
  </w:style>
  <w:style w:type="paragraph" w:styleId="44">
    <w:name w:val="Footer"/>
    <w:basedOn w:val="66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8"/>
    <w:link w:val="44"/>
    <w:uiPriority w:val="99"/>
  </w:style>
  <w:style w:type="paragraph" w:styleId="46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84"/>
    <w:uiPriority w:val="99"/>
    <w:rPr>
      <w:sz w:val="18"/>
    </w:rPr>
  </w:style>
  <w:style w:type="paragraph" w:styleId="178">
    <w:name w:val="endnote text"/>
    <w:basedOn w:val="66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6"/>
    <w:next w:val="66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6"/>
    <w:next w:val="66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6"/>
    <w:next w:val="66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6"/>
    <w:next w:val="66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6"/>
    <w:next w:val="66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6"/>
    <w:next w:val="66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6"/>
    <w:next w:val="66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6"/>
    <w:next w:val="66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6"/>
    <w:next w:val="66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6"/>
    <w:next w:val="666"/>
    <w:uiPriority w:val="99"/>
    <w:unhideWhenUsed/>
    <w:pPr>
      <w:spacing w:after="0" w:afterAutospacing="0"/>
    </w:pPr>
  </w:style>
  <w:style w:type="paragraph" w:styleId="666" w:default="1">
    <w:name w:val="Normal"/>
    <w:qFormat/>
  </w:style>
  <w:style w:type="paragraph" w:styleId="667">
    <w:name w:val="Heading 1"/>
    <w:basedOn w:val="666"/>
    <w:next w:val="666"/>
    <w:link w:val="690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672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673">
    <w:name w:val="List Paragraph"/>
    <w:basedOn w:val="666"/>
    <w:uiPriority w:val="34"/>
    <w:qFormat/>
    <w:pPr>
      <w:contextualSpacing/>
      <w:ind w:left="720"/>
    </w:pPr>
  </w:style>
  <w:style w:type="paragraph" w:styleId="674">
    <w:name w:val="Balloon Text"/>
    <w:basedOn w:val="666"/>
    <w:link w:val="6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5" w:customStyle="1">
    <w:name w:val="Текст выноски Знак"/>
    <w:basedOn w:val="668"/>
    <w:link w:val="674"/>
    <w:uiPriority w:val="99"/>
    <w:semiHidden/>
    <w:rPr>
      <w:rFonts w:ascii="Tahoma" w:hAnsi="Tahoma" w:cs="Tahoma"/>
      <w:sz w:val="16"/>
      <w:szCs w:val="16"/>
    </w:rPr>
  </w:style>
  <w:style w:type="character" w:styleId="676">
    <w:name w:val="Strong"/>
    <w:basedOn w:val="668"/>
    <w:uiPriority w:val="22"/>
    <w:qFormat/>
    <w:rPr>
      <w:b/>
      <w:bCs/>
    </w:rPr>
  </w:style>
  <w:style w:type="paragraph" w:styleId="677" w:customStyle="1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678">
    <w:name w:val="annotation reference"/>
    <w:basedOn w:val="668"/>
    <w:uiPriority w:val="99"/>
    <w:semiHidden/>
    <w:unhideWhenUsed/>
    <w:rPr>
      <w:sz w:val="16"/>
      <w:szCs w:val="16"/>
    </w:rPr>
  </w:style>
  <w:style w:type="paragraph" w:styleId="679">
    <w:name w:val="annotation text"/>
    <w:basedOn w:val="666"/>
    <w:link w:val="68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0" w:customStyle="1">
    <w:name w:val="Текст примечания Знак"/>
    <w:basedOn w:val="668"/>
    <w:link w:val="679"/>
    <w:uiPriority w:val="99"/>
    <w:semiHidden/>
    <w:rPr>
      <w:sz w:val="20"/>
      <w:szCs w:val="20"/>
    </w:rPr>
  </w:style>
  <w:style w:type="paragraph" w:styleId="681">
    <w:name w:val="annotation subject"/>
    <w:basedOn w:val="679"/>
    <w:next w:val="679"/>
    <w:link w:val="682"/>
    <w:uiPriority w:val="99"/>
    <w:semiHidden/>
    <w:unhideWhenUsed/>
    <w:rPr>
      <w:b/>
      <w:bCs/>
    </w:rPr>
  </w:style>
  <w:style w:type="character" w:styleId="682" w:customStyle="1">
    <w:name w:val="Тема примечания Знак"/>
    <w:basedOn w:val="680"/>
    <w:link w:val="681"/>
    <w:uiPriority w:val="99"/>
    <w:semiHidden/>
    <w:rPr>
      <w:b/>
      <w:bCs/>
      <w:sz w:val="20"/>
      <w:szCs w:val="20"/>
    </w:rPr>
  </w:style>
  <w:style w:type="table" w:styleId="683" w:customStyle="1">
    <w:name w:val="Светлая заливка - Акцент 11"/>
    <w:basedOn w:val="669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paragraph" w:styleId="684">
    <w:name w:val="footnote text"/>
    <w:basedOn w:val="666"/>
    <w:link w:val="68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5" w:customStyle="1">
    <w:name w:val="Текст сноски Знак"/>
    <w:basedOn w:val="668"/>
    <w:link w:val="684"/>
    <w:uiPriority w:val="99"/>
    <w:semiHidden/>
    <w:rPr>
      <w:sz w:val="20"/>
      <w:szCs w:val="20"/>
    </w:rPr>
  </w:style>
  <w:style w:type="character" w:styleId="686">
    <w:name w:val="footnote reference"/>
    <w:basedOn w:val="668"/>
    <w:uiPriority w:val="99"/>
    <w:semiHidden/>
    <w:unhideWhenUsed/>
    <w:rPr>
      <w:vertAlign w:val="superscript"/>
    </w:rPr>
  </w:style>
  <w:style w:type="table" w:styleId="687" w:customStyle="1">
    <w:name w:val="Светлый список - Акцент 11"/>
    <w:basedOn w:val="669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paragraph" w:styleId="688">
    <w:name w:val="Document Map"/>
    <w:basedOn w:val="666"/>
    <w:link w:val="68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9" w:customStyle="1">
    <w:name w:val="Схема документа Знак"/>
    <w:basedOn w:val="668"/>
    <w:link w:val="688"/>
    <w:uiPriority w:val="99"/>
    <w:semiHidden/>
    <w:rPr>
      <w:rFonts w:ascii="Tahoma" w:hAnsi="Tahoma" w:cs="Tahoma"/>
      <w:sz w:val="16"/>
      <w:szCs w:val="16"/>
    </w:rPr>
  </w:style>
  <w:style w:type="character" w:styleId="690" w:customStyle="1">
    <w:name w:val="Заголовок 1 Знак"/>
    <w:basedOn w:val="668"/>
    <w:link w:val="66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delo_kungur@chernset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3A29-90E2-47AF-9826-566DDE63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revision>10</cp:revision>
  <dcterms:created xsi:type="dcterms:W3CDTF">2017-12-25T10:59:00Z</dcterms:created>
  <dcterms:modified xsi:type="dcterms:W3CDTF">2023-10-06T10:40:03Z</dcterms:modified>
</cp:coreProperties>
</file>