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ПКГУП «КЭС»</w:t>
      </w:r>
      <w:r/>
    </w:p>
    <w:p>
      <w:r/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1.1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  <w:r/>
    </w:p>
    <w:p>
      <w:pPr>
        <w:pStyle w:val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ЗАЯВИТЕЛЕЙ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</w:t>
      </w:r>
      <w:r/>
    </w:p>
    <w:p>
      <w:pPr>
        <w:pStyle w:val="6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лата не взымается.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>
        <w:rPr>
          <w:rFonts w:ascii="Times New Roman" w:hAnsi="Times New Roman" w:cs="Times New Roman"/>
          <w:sz w:val="24"/>
          <w:szCs w:val="24"/>
        </w:rPr>
        <w:t xml:space="preserve">ПКГУП «КЭС»</w:t>
      </w:r>
      <w:r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>
        <w:rPr>
          <w:rFonts w:ascii="Times New Roman" w:hAnsi="Times New Roman" w:cs="Times New Roman"/>
          <w:sz w:val="24"/>
          <w:szCs w:val="24"/>
        </w:rPr>
        <w:t xml:space="preserve">, наличие приборов учёта, позволяющих учитывать почасовые значения активной и реактивной энергии, потреблённой </w:t>
      </w:r>
      <w:r>
        <w:rPr>
          <w:rFonts w:ascii="Times New Roman" w:hAnsi="Times New Roman" w:cs="Times New Roman"/>
          <w:sz w:val="24"/>
          <w:szCs w:val="24"/>
        </w:rPr>
        <w:t xml:space="preserve">энергопринимающими</w:t>
      </w:r>
      <w:r>
        <w:rPr>
          <w:rFonts w:ascii="Times New Roman" w:hAnsi="Times New Roman" w:cs="Times New Roman"/>
          <w:sz w:val="24"/>
          <w:szCs w:val="24"/>
        </w:rPr>
        <w:t xml:space="preserve"> устройствами заявителей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>
        <w:rPr>
          <w:rFonts w:ascii="Times New Roman" w:hAnsi="Times New Roman" w:cs="Times New Roman"/>
          <w:sz w:val="24"/>
          <w:szCs w:val="24"/>
        </w:rPr>
        <w:t xml:space="preserve">30 дней </w:t>
      </w:r>
      <w:r>
        <w:rPr>
          <w:rFonts w:ascii="Times New Roman" w:hAnsi="Times New Roman" w:cs="Times New Roman"/>
          <w:sz w:val="24"/>
          <w:szCs w:val="24"/>
        </w:rPr>
        <w:t xml:space="preserve">с даты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проверки или снятия контрольных показаний приборов учёта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>
        <w:rPr>
          <w:rFonts w:ascii="Times New Roman" w:hAnsi="Times New Roman" w:cs="Times New Roman"/>
          <w:sz w:val="24"/>
          <w:szCs w:val="24"/>
        </w:rPr>
        <w:t xml:space="preserve">соблюдения значений соотношений потреблённой активной и реактивной мощности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</w:t>
      </w:r>
      <w:r/>
    </w:p>
    <w:tbl>
      <w:tblPr>
        <w:tblStyle w:val="681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82"/>
        <w:gridCol w:w="1835"/>
        <w:gridCol w:w="2603"/>
        <w:gridCol w:w="2737"/>
        <w:gridCol w:w="2262"/>
        <w:gridCol w:w="1764"/>
        <w:gridCol w:w="2634"/>
      </w:tblGrid>
      <w:tr>
        <w:trPr>
          <w:tblHeader/>
        </w:trPr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bottom w:val="single" w:color="4F81BD" w:themeColor="accent1" w:sz="4" w:space="0"/>
            </w:tcBorders>
            <w:tcW w:w="16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d6e3bc" w:themeFill="accent3" w:themeFillTint="66"/>
            <w:tcBorders>
              <w:bottom w:val="single" w:color="4F81BD" w:themeColor="accent1" w:sz="4" w:space="0"/>
              <w:right w:val="single" w:color="FFFFFF" w:themeColor="background1" w:sz="4" w:space="0"/>
            </w:tcBorders>
            <w:tcW w:w="64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Этап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0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Условие этапа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Содержание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79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Форма предоставления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61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Срок исполнения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</w:tcBorders>
            <w:tcW w:w="92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Ссылка на нормативно правовой акт</w:t>
            </w:r>
            <w:r/>
          </w:p>
        </w:tc>
      </w:tr>
      <w:tr>
        <w:trPr/>
        <w:tc>
          <w:tcPr>
            <w:tcBorders>
              <w:top w:val="single" w:color="4F81BD" w:themeColor="accent1" w:sz="4" w:space="0"/>
            </w:tcBorders>
            <w:tcW w:w="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Снятие профилей мощности активной и реактивной мощности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0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 проведении проверок расчётных приборов учёта или снятии контрольных показаний приборов учёта в случае необходимости с прибора учёта снимаются данные о почасовом потреблении активной и реактивной энергии</w:t>
            </w:r>
            <w:r>
              <w:rPr>
                <w:rFonts w:ascii="Times New Roman" w:hAnsi="Times New Roman" w:cs="Times New Roman"/>
              </w:rPr>
              <w:t xml:space="preserve">   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5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Установление и фиксация объемов мощности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790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Очно при выполнении действий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 проведении проверок расчётных приборов учёта или снятии контрольных показаний приборов учёта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2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Правила недискриминационного доступа</w:t>
            </w:r>
            <w:r>
              <w:rPr>
                <w:rStyle w:val="680"/>
                <w:rFonts w:ascii="Times New Roman" w:hAnsi="Times New Roman" w:eastAsia="Times New Roman" w:cs="Times New Roman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Основы функционирования розничных рынков электрической энергии</w:t>
            </w:r>
            <w:r>
              <w:rPr>
                <w:rStyle w:val="680"/>
                <w:rFonts w:ascii="Times New Roman" w:hAnsi="Times New Roman" w:eastAsia="Times New Roman" w:cs="Times New Roman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Минпромэнерго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РФ №49 от 22.02.2007г.</w:t>
            </w:r>
            <w:r/>
          </w:p>
        </w:tc>
      </w:tr>
      <w:tr>
        <w:trPr/>
        <w:tc>
          <w:tcPr>
            <w:tcW w:w="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2</w:t>
            </w:r>
            <w:r/>
          </w:p>
        </w:tc>
        <w:tc>
          <w:tcPr>
            <w:tcW w:w="6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Расчет значения соотношения потребления реактивной и активной мощности.</w:t>
            </w:r>
            <w:r/>
          </w:p>
        </w:tc>
        <w:tc>
          <w:tcPr>
            <w:tcW w:w="90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 наличии профилей активной и реактивной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мощности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Сумма часов, составляющих определяе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  <w:r/>
          </w:p>
        </w:tc>
        <w:tc>
          <w:tcPr>
            <w:tcW w:w="95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Расчет коэффициента активной и реактивной мощности. Значения коэффициентов реактивной мощности определяются отдельно для каждой точки присоединения к элек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трической сети в отношении всех потребителей, за исключением потребителей, получающих электрическую энергию по нескольким линиям напряжением 6 - 20 кВ от одной подстанции или электростанции, для которых эти значения рассчитываются в виде суммарных величин.</w:t>
            </w:r>
            <w:r/>
          </w:p>
        </w:tc>
        <w:tc>
          <w:tcPr>
            <w:tcW w:w="79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 час 50 минут</w:t>
            </w:r>
            <w:r/>
          </w:p>
        </w:tc>
        <w:tc>
          <w:tcPr>
            <w:tcW w:w="92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Минпромэнерго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РФ №49 от 22.02.2007г.</w:t>
            </w:r>
            <w:r/>
          </w:p>
        </w:tc>
      </w:tr>
      <w:tr>
        <w:trPr/>
        <w:tc>
          <w:tcPr>
            <w:tcW w:w="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</w:t>
            </w:r>
            <w:r/>
          </w:p>
        </w:tc>
        <w:tc>
          <w:tcPr>
            <w:tcW w:w="6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 коэффициента реактивной мощности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tg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φ </w:t>
            </w:r>
            <w:r/>
          </w:p>
        </w:tc>
        <w:tc>
          <w:tcPr>
            <w:tcW w:w="90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Для потребителей, присоединенных к сетям напряжением 220 кВ и выше, а также к сетям 110 кВ (154 кВ), в случаях, когда они оказывают существенное влияние на электроэнергетические режимы работы энергосистем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энергорайонов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энергоузлов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предельное значение коэффициента реактивной мощности, потребляемой в часы больших суточных нагрузок электрической сети, а также диапазоны коэффициента реактивной мощности, применяемые в периоды участия потребителя в регулировании реактивной мощности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определяют на основе расчетов режимов работы электрической сети в указанные периоды, выполняемых как для нормальной, так и для ремонтной схем сети</w:t>
            </w:r>
            <w:r/>
          </w:p>
        </w:tc>
        <w:tc>
          <w:tcPr>
            <w:tcW w:w="95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Предельные значения коэффициента реактивной мощности, потребляемой в часы больших суточных нагрузок электрической сети, для потребителей, присоединенных к сетям напряжением ниже 220 кВ, определяются в соответствии с </w:t>
            </w:r>
            <w:hyperlink r:id="rId10" w:tooltip="consultantplus://offline/ref=2DC3E262118F82F2790178C320FEF314B3DE2040F5D67989067FE657ABDA0242003A6B5DF9B9D8yDR8K" w:history="1">
              <w:r>
                <w:rPr>
                  <w:rFonts w:ascii="Times New Roman" w:hAnsi="Times New Roman" w:eastAsia="Times New Roman" w:cs="Times New Roman"/>
                  <w:lang w:eastAsia="ru-RU"/>
                </w:rPr>
                <w:t xml:space="preserve">приложением</w:t>
              </w:r>
            </w:hyperlink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к Приказ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Минпромэнерго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РФ №49 от 22.02.2007г.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79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 часа 30 минут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2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Минпромэнерго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РФ №49 от 22.02.2007г.</w:t>
            </w:r>
            <w:r/>
          </w:p>
        </w:tc>
      </w:tr>
      <w:tr>
        <w:trPr/>
        <w:tc>
          <w:tcPr>
            <w:tcW w:w="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5</w:t>
            </w:r>
            <w:r/>
          </w:p>
        </w:tc>
        <w:tc>
          <w:tcPr>
            <w:tcW w:w="6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Контроль значений соотношения потребления активной и реактивной мощности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направление акта потребителю</w:t>
            </w:r>
            <w:r/>
          </w:p>
        </w:tc>
        <w:tc>
          <w:tcPr>
            <w:tcW w:w="90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 выявлении факта нарушения </w:t>
            </w:r>
            <w:r/>
          </w:p>
        </w:tc>
        <w:tc>
          <w:tcPr>
            <w:tcW w:w="95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 основании показаний прибора учёта определяется факт соблюдения или нарушения значений соотношений потреблённой активной и реактивной мощности,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при выявлении факта нарушения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составля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ется акт, который направляется потребителю</w:t>
            </w:r>
            <w:r/>
          </w:p>
        </w:tc>
        <w:tc>
          <w:tcPr>
            <w:tcW w:w="79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Письменное направление акта заказным письмом с уведомлением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течение 30 дней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 даты проведения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соответствующей проверки или снятия контрольных показаний приборов учёта</w:t>
            </w:r>
            <w:r/>
          </w:p>
        </w:tc>
        <w:tc>
          <w:tcPr>
            <w:tcW w:w="92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 недискриминационного доступа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;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Минпромэнерго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РФ №49 от 22.02.2007г.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/>
    </w:p>
    <w:p>
      <w:pPr>
        <w:jc w:val="both"/>
        <w:spacing w:after="6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Номер телефонного центра обслуживания </w:t>
      </w:r>
      <w:r>
        <w:rPr>
          <w:rFonts w:ascii="Times New Roman" w:hAnsi="Times New Roman" w:cs="Times New Roman"/>
        </w:rPr>
        <w:t xml:space="preserve">ПКГУП «КЭС»</w:t>
      </w:r>
      <w:r>
        <w:rPr>
          <w:rFonts w:ascii="Times New Roman" w:hAnsi="Times New Roman" w:cs="Times New Roman"/>
        </w:rPr>
        <w:t xml:space="preserve"> в г. Кунгур 8(34271)20298; в г. Чернушка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8(34261)40909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Адрес электронной почты </w:t>
      </w:r>
      <w:r>
        <w:rPr>
          <w:rFonts w:ascii="Times New Roman" w:hAnsi="Times New Roman" w:cs="Times New Roman"/>
        </w:rPr>
        <w:t xml:space="preserve">ПКГУП «КЭС» в г. Кунгур </w:t>
      </w:r>
      <w:r>
        <w:rPr>
          <w:color w:val="auto"/>
          <w:sz w:val="24"/>
          <w:szCs w:val="24"/>
        </w:rPr>
      </w:r>
      <w:hyperlink r:id="rId11" w:tooltip="http://delo_kungur@chernseti.ru" w:history="1">
        <w:r>
          <w:rPr>
            <w:color w:val="auto"/>
            <w:sz w:val="24"/>
            <w:szCs w:val="24"/>
          </w:rPr>
          <w:t xml:space="preserve">delo_kungur@chernseti.ru</w:t>
        </w:r>
      </w:hyperlink>
      <w:r>
        <w:rPr>
          <w:sz w:val="24"/>
          <w:szCs w:val="24"/>
        </w:rPr>
        <w:t xml:space="preserve">; в г. Чернушка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info@chernseti.ru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6838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78"/>
        <w:jc w:val="both"/>
        <w:rPr>
          <w:sz w:val="22"/>
          <w:szCs w:val="22"/>
        </w:rPr>
      </w:pPr>
      <w:r>
        <w:rPr>
          <w:rStyle w:val="68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  <w:r/>
    </w:p>
  </w:footnote>
  <w:footnote w:id="3">
    <w:p>
      <w:pPr>
        <w:jc w:val="both"/>
        <w:spacing w:after="0" w:line="240" w:lineRule="auto"/>
      </w:pPr>
      <w:r>
        <w:rPr>
          <w:rStyle w:val="68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>
        <w:rPr>
          <w:rFonts w:ascii="Times New Roman" w:hAnsi="Times New Roman" w:cs="Times New Roman"/>
        </w:rPr>
        <w:t xml:space="preserve">постановлением Правительства РФ от 04.05.2012 № 442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7" w:hanging="360"/>
      </w:pPr>
      <w:rPr>
        <w:rFonts w:hint="default"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2"/>
    <w:link w:val="66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2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2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8"/>
    <w:uiPriority w:val="99"/>
    <w:rPr>
      <w:sz w:val="18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</w:style>
  <w:style w:type="paragraph" w:styleId="661">
    <w:name w:val="Heading 1"/>
    <w:basedOn w:val="660"/>
    <w:next w:val="660"/>
    <w:link w:val="68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666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667">
    <w:name w:val="List Paragraph"/>
    <w:basedOn w:val="660"/>
    <w:uiPriority w:val="34"/>
    <w:qFormat/>
    <w:pPr>
      <w:contextualSpacing/>
      <w:ind w:left="720"/>
    </w:pPr>
  </w:style>
  <w:style w:type="paragraph" w:styleId="668">
    <w:name w:val="Balloon Text"/>
    <w:basedOn w:val="660"/>
    <w:link w:val="6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9" w:customStyle="1">
    <w:name w:val="Текст выноски Знак"/>
    <w:basedOn w:val="662"/>
    <w:link w:val="668"/>
    <w:uiPriority w:val="99"/>
    <w:semiHidden/>
    <w:rPr>
      <w:rFonts w:ascii="Tahoma" w:hAnsi="Tahoma" w:cs="Tahoma"/>
      <w:sz w:val="16"/>
      <w:szCs w:val="16"/>
    </w:rPr>
  </w:style>
  <w:style w:type="character" w:styleId="670">
    <w:name w:val="Strong"/>
    <w:basedOn w:val="662"/>
    <w:uiPriority w:val="22"/>
    <w:qFormat/>
    <w:rPr>
      <w:b/>
      <w:bCs/>
    </w:rPr>
  </w:style>
  <w:style w:type="paragraph" w:styleId="671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672">
    <w:name w:val="annotation reference"/>
    <w:basedOn w:val="662"/>
    <w:uiPriority w:val="99"/>
    <w:semiHidden/>
    <w:unhideWhenUsed/>
    <w:rPr>
      <w:sz w:val="16"/>
      <w:szCs w:val="16"/>
    </w:rPr>
  </w:style>
  <w:style w:type="paragraph" w:styleId="673">
    <w:name w:val="annotation text"/>
    <w:basedOn w:val="660"/>
    <w:link w:val="67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4" w:customStyle="1">
    <w:name w:val="Текст примечания Знак"/>
    <w:basedOn w:val="662"/>
    <w:link w:val="673"/>
    <w:uiPriority w:val="99"/>
    <w:semiHidden/>
    <w:rPr>
      <w:sz w:val="20"/>
      <w:szCs w:val="20"/>
    </w:rPr>
  </w:style>
  <w:style w:type="paragraph" w:styleId="675">
    <w:name w:val="annotation subject"/>
    <w:basedOn w:val="673"/>
    <w:next w:val="673"/>
    <w:link w:val="676"/>
    <w:uiPriority w:val="99"/>
    <w:semiHidden/>
    <w:unhideWhenUsed/>
    <w:rPr>
      <w:b/>
      <w:bCs/>
    </w:rPr>
  </w:style>
  <w:style w:type="character" w:styleId="676" w:customStyle="1">
    <w:name w:val="Тема примечания Знак"/>
    <w:basedOn w:val="674"/>
    <w:link w:val="675"/>
    <w:uiPriority w:val="99"/>
    <w:semiHidden/>
    <w:rPr>
      <w:b/>
      <w:bCs/>
      <w:sz w:val="20"/>
      <w:szCs w:val="20"/>
    </w:rPr>
  </w:style>
  <w:style w:type="table" w:styleId="677" w:customStyle="1">
    <w:name w:val="Светлая заливка - Акцент 11"/>
    <w:basedOn w:val="66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678">
    <w:name w:val="footnote text"/>
    <w:basedOn w:val="660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Текст сноски Знак"/>
    <w:basedOn w:val="662"/>
    <w:link w:val="678"/>
    <w:uiPriority w:val="99"/>
    <w:semiHidden/>
    <w:rPr>
      <w:sz w:val="20"/>
      <w:szCs w:val="20"/>
    </w:rPr>
  </w:style>
  <w:style w:type="character" w:styleId="680">
    <w:name w:val="footnote reference"/>
    <w:basedOn w:val="662"/>
    <w:uiPriority w:val="99"/>
    <w:semiHidden/>
    <w:unhideWhenUsed/>
    <w:rPr>
      <w:vertAlign w:val="superscript"/>
    </w:rPr>
  </w:style>
  <w:style w:type="table" w:styleId="681" w:customStyle="1">
    <w:name w:val="Светлый список - Акцент 11"/>
    <w:basedOn w:val="66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682">
    <w:name w:val="Document Map"/>
    <w:basedOn w:val="660"/>
    <w:link w:val="6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3" w:customStyle="1">
    <w:name w:val="Схема документа Знак"/>
    <w:basedOn w:val="662"/>
    <w:link w:val="682"/>
    <w:uiPriority w:val="99"/>
    <w:semiHidden/>
    <w:rPr>
      <w:rFonts w:ascii="Tahoma" w:hAnsi="Tahoma" w:cs="Tahoma"/>
      <w:sz w:val="16"/>
      <w:szCs w:val="16"/>
    </w:rPr>
  </w:style>
  <w:style w:type="character" w:styleId="684" w:customStyle="1">
    <w:name w:val="Заголовок 1 Знак"/>
    <w:basedOn w:val="662"/>
    <w:link w:val="66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2DC3E262118F82F2790178C320FEF314B3DE2040F5D67989067FE657ABDA0242003A6B5DF9B9D8yDR8K" TargetMode="External"/><Relationship Id="rId11" Type="http://schemas.openxmlformats.org/officeDocument/2006/relationships/hyperlink" Target="http://delo_kungur@chernset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DF68-440C-4877-B0C2-3EDACA22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revision>10</cp:revision>
  <dcterms:created xsi:type="dcterms:W3CDTF">2017-12-25T11:04:00Z</dcterms:created>
  <dcterms:modified xsi:type="dcterms:W3CDTF">2023-10-06T10:34:06Z</dcterms:modified>
</cp:coreProperties>
</file>