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ПКГУП «КЭС»</w:t>
      </w:r>
      <w:r/>
    </w:p>
    <w:p>
      <w:r/>
      <w:r/>
    </w:p>
    <w:p>
      <w:pPr>
        <w:pStyle w:val="662"/>
        <w:jc w:val="center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КОД 1.1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  <w:r/>
    </w:p>
    <w:p>
      <w:pPr>
        <w:pStyle w:val="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</w:t>
      </w:r>
      <w:r/>
    </w:p>
    <w:p>
      <w:pPr>
        <w:pStyle w:val="667"/>
        <w:jc w:val="both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не взымается.</w:t>
      </w:r>
      <w:r/>
    </w:p>
    <w:p>
      <w:pPr>
        <w:jc w:val="both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>
        <w:rPr>
          <w:rFonts w:ascii="Times New Roman" w:hAnsi="Times New Roman" w:cs="Times New Roman"/>
          <w:sz w:val="24"/>
          <w:szCs w:val="24"/>
        </w:rPr>
        <w:t xml:space="preserve">ПКГУП «КЭС</w:t>
      </w:r>
      <w:r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организацией), </w:t>
      </w:r>
      <w:r>
        <w:rPr>
          <w:rFonts w:ascii="Times New Roman" w:hAnsi="Times New Roman" w:cs="Times New Roman"/>
          <w:sz w:val="24"/>
          <w:szCs w:val="24"/>
        </w:rPr>
        <w:t xml:space="preserve">обращение потребителя с </w:t>
      </w:r>
      <w:r>
        <w:rPr>
          <w:rFonts w:ascii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 xml:space="preserve">о проверке качества электрической энергии в точках присоединения энергопринимающих установок к электрическим сетям сетевой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/>
    </w:p>
    <w:p>
      <w:pPr>
        <w:jc w:val="both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не более 60 дней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направления потребителю промежуточного ответа в течение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причин</w:t>
      </w:r>
      <w:r/>
    </w:p>
    <w:p>
      <w:pPr>
        <w:jc w:val="both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проверка соответствия качества электроэнергии в точках присоединения, составление протокола испытания качества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682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1764"/>
        <w:gridCol w:w="2659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6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3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0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5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7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9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6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3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Обращение потребителя с заявлением о проведении контроля показателей качества электрической энергии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0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установленном порядке энергопринимающих устройств заявителя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Направление потребителем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аявлени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указанием реквизитов Заявителя, места расположения энергопринимающих устройств, точек контроля,  предлагаемых даты и время проведения процедуры</w:t>
            </w:r>
            <w:r>
              <w:t xml:space="preserve">  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8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Очное обращение заявителя в офис обслуживания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потребителей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письменное обращение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позволяющим подтвердить факт получения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ограничен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2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Единые стандарты качества обслуживания сетевыми организациями потребителей услуг сетевых организаций, утвержденные п</w:t>
            </w:r>
            <w:r>
              <w:rPr>
                <w:rFonts w:ascii="Times New Roman" w:hAnsi="Times New Roman" w:cs="Times New Roman"/>
              </w:rPr>
              <w:t xml:space="preserve">риказом Минэнерго России от 15.04.2014 N 186,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ГОСТ 32145-2013</w:t>
            </w:r>
            <w:r>
              <w:rPr>
                <w:rStyle w:val="681"/>
                <w:rFonts w:ascii="Times New Roman" w:hAnsi="Times New Roman" w:eastAsia="Times New Roman" w:cs="Times New Roman"/>
                <w:lang w:eastAsia="ru-RU"/>
              </w:rPr>
              <w:footnoteReference w:id="2"/>
            </w:r>
            <w:r/>
          </w:p>
        </w:tc>
      </w:tr>
      <w:tr>
        <w:trPr/>
        <w:tc>
          <w:tcPr>
            <w:tcW w:w="16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2</w:t>
            </w:r>
            <w:r/>
          </w:p>
        </w:tc>
        <w:tc>
          <w:tcPr>
            <w:tcW w:w="63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Рассмотрение заявления и 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огласование с потребителем точек контроля и сроков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проведения контроля/испытания качества электрической энергии</w:t>
            </w:r>
            <w:r/>
          </w:p>
        </w:tc>
        <w:tc>
          <w:tcPr>
            <w:tcW w:w="90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аличи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всех необходимых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сведений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заявлении</w:t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потребителем точек контроля и сроков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проведения контроля/испытания качества электрической энергии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телефону, письменное обращение заказным письмом с уведомлением</w:t>
            </w:r>
            <w:r/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2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16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</w:t>
            </w:r>
            <w:r/>
          </w:p>
        </w:tc>
        <w:tc>
          <w:tcPr>
            <w:tcW w:w="63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контроля показателей качества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обработка результатов</w:t>
            </w:r>
            <w:r/>
          </w:p>
        </w:tc>
        <w:tc>
          <w:tcPr>
            <w:tcW w:w="90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Согласованные с  потребителем точки контроля и сроки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проведения контроля/испытания качества электрической энергии</w:t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испытани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 (измерений)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показателей качества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обработка результатов испытаний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</w:t>
            </w:r>
            <w:r/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2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ГОСТ 32144-2013</w:t>
            </w:r>
            <w:r>
              <w:rPr>
                <w:rStyle w:val="681"/>
                <w:rFonts w:ascii="Times New Roman" w:hAnsi="Times New Roman" w:eastAsia="Times New Roman" w:cs="Times New Roman"/>
                <w:lang w:eastAsia="ru-RU"/>
              </w:rPr>
              <w:footnoteReference w:id="3"/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ГОСТ 32145-2013</w:t>
            </w:r>
            <w:r/>
          </w:p>
        </w:tc>
      </w:tr>
      <w:tr>
        <w:trPr/>
        <w:tc>
          <w:tcPr>
            <w:tcW w:w="16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5</w:t>
            </w:r>
            <w:r/>
          </w:p>
        </w:tc>
        <w:tc>
          <w:tcPr>
            <w:tcW w:w="63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Оформление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направление потребителю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результатов контроля качества электроэнергии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</w:tc>
        <w:tc>
          <w:tcPr>
            <w:tcW w:w="90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5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Оформление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Акта/ протокола измерений показателей качества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направление Акта/протокола потребителю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 заказным письмом с уведомлением, очно в офисе обслуживание</w:t>
            </w:r>
            <w:r/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более 60 дней при условии направления потребителю промежуточного ответа в течение 30 рабочих дней с указанием соответствующих причин</w:t>
            </w:r>
            <w:r/>
          </w:p>
        </w:tc>
        <w:tc>
          <w:tcPr>
            <w:tcW w:w="927" w:type="pct"/>
            <w:textDirection w:val="lrTb"/>
            <w:noWrap w:val="false"/>
          </w:tcPr>
          <w:p>
            <w:pPr>
              <w:ind w:left="3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ГОСТ 3214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-2013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Единые стандарты качества обслуживания сетевыми организациями потребителей услуг сетевых организаций, утвержденные п</w:t>
            </w:r>
            <w:r>
              <w:rPr>
                <w:rFonts w:ascii="Times New Roman" w:hAnsi="Times New Roman" w:cs="Times New Roman"/>
              </w:rPr>
              <w:t xml:space="preserve">риказом Минэнерго России от 15.04.2014 N 186</w:t>
            </w:r>
            <w:r/>
          </w:p>
        </w:tc>
      </w:tr>
    </w:tbl>
    <w:p>
      <w:pPr>
        <w:jc w:val="both"/>
        <w:spacing w:after="6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rFonts w:ascii="Times New Roman" w:hAnsi="Times New Roman" w:cs="Times New Roman"/>
          <w:color w:val="auto"/>
          <w:sz w:val="24"/>
          <w:szCs w:val="24"/>
        </w:rPr>
      </w:r>
      <w:hyperlink r:id="rId10" w:tooltip="http://delo_kungur@chernseti.ru" w:history="1">
        <w:r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delo_kungur@chernseti.ru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Чернушка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/>
    </w:p>
    <w:p>
      <w:pPr>
        <w:pStyle w:val="66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79"/>
      </w:pPr>
      <w:r>
        <w:rPr>
          <w:rStyle w:val="681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ГОСТ 32145-2013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/>
    </w:p>
  </w:footnote>
  <w:footnote w:id="3">
    <w:p>
      <w:pPr>
        <w:pStyle w:val="679"/>
      </w:pPr>
      <w:r>
        <w:rPr>
          <w:rStyle w:val="681"/>
        </w:rPr>
        <w:footnoteRef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6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9"/>
    <w:uiPriority w:val="99"/>
    <w:rPr>
      <w:sz w:val="18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8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67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68">
    <w:name w:val="List Paragraph"/>
    <w:basedOn w:val="661"/>
    <w:uiPriority w:val="34"/>
    <w:qFormat/>
    <w:pPr>
      <w:contextualSpacing/>
      <w:ind w:left="720"/>
    </w:pPr>
  </w:style>
  <w:style w:type="paragraph" w:styleId="669">
    <w:name w:val="Balloon Text"/>
    <w:basedOn w:val="661"/>
    <w:link w:val="6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63"/>
    <w:link w:val="669"/>
    <w:uiPriority w:val="99"/>
    <w:semiHidden/>
    <w:rPr>
      <w:rFonts w:ascii="Tahoma" w:hAnsi="Tahoma" w:cs="Tahoma"/>
      <w:sz w:val="16"/>
      <w:szCs w:val="16"/>
    </w:rPr>
  </w:style>
  <w:style w:type="character" w:styleId="671">
    <w:name w:val="Strong"/>
    <w:basedOn w:val="663"/>
    <w:uiPriority w:val="22"/>
    <w:qFormat/>
    <w:rPr>
      <w:b/>
      <w:bCs/>
    </w:rPr>
  </w:style>
  <w:style w:type="paragraph" w:styleId="672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673">
    <w:name w:val="annotation reference"/>
    <w:basedOn w:val="663"/>
    <w:uiPriority w:val="99"/>
    <w:semiHidden/>
    <w:unhideWhenUsed/>
    <w:rPr>
      <w:sz w:val="16"/>
      <w:szCs w:val="16"/>
    </w:rPr>
  </w:style>
  <w:style w:type="paragraph" w:styleId="674">
    <w:name w:val="annotation text"/>
    <w:basedOn w:val="661"/>
    <w:link w:val="6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5" w:customStyle="1">
    <w:name w:val="Текст примечания Знак"/>
    <w:basedOn w:val="663"/>
    <w:link w:val="674"/>
    <w:uiPriority w:val="99"/>
    <w:semiHidden/>
    <w:rPr>
      <w:sz w:val="20"/>
      <w:szCs w:val="20"/>
    </w:rPr>
  </w:style>
  <w:style w:type="paragraph" w:styleId="676">
    <w:name w:val="annotation subject"/>
    <w:basedOn w:val="674"/>
    <w:next w:val="674"/>
    <w:link w:val="677"/>
    <w:uiPriority w:val="99"/>
    <w:semiHidden/>
    <w:unhideWhenUsed/>
    <w:rPr>
      <w:b/>
      <w:bCs/>
    </w:rPr>
  </w:style>
  <w:style w:type="character" w:styleId="677" w:customStyle="1">
    <w:name w:val="Тема примечания Знак"/>
    <w:basedOn w:val="675"/>
    <w:link w:val="676"/>
    <w:uiPriority w:val="99"/>
    <w:semiHidden/>
    <w:rPr>
      <w:b/>
      <w:bCs/>
      <w:sz w:val="20"/>
      <w:szCs w:val="20"/>
    </w:rPr>
  </w:style>
  <w:style w:type="table" w:styleId="678" w:customStyle="1">
    <w:name w:val="Светлая заливка - Акцент 11"/>
    <w:basedOn w:val="664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679">
    <w:name w:val="footnote text"/>
    <w:basedOn w:val="661"/>
    <w:link w:val="68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0" w:customStyle="1">
    <w:name w:val="Текст сноски Знак"/>
    <w:basedOn w:val="663"/>
    <w:link w:val="679"/>
    <w:uiPriority w:val="99"/>
    <w:semiHidden/>
    <w:rPr>
      <w:sz w:val="20"/>
      <w:szCs w:val="20"/>
    </w:rPr>
  </w:style>
  <w:style w:type="character" w:styleId="681">
    <w:name w:val="footnote reference"/>
    <w:basedOn w:val="663"/>
    <w:uiPriority w:val="99"/>
    <w:semiHidden/>
    <w:unhideWhenUsed/>
    <w:rPr>
      <w:vertAlign w:val="superscript"/>
    </w:rPr>
  </w:style>
  <w:style w:type="table" w:styleId="682" w:customStyle="1">
    <w:name w:val="Светлый список - Акцент 11"/>
    <w:basedOn w:val="664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683">
    <w:name w:val="Document Map"/>
    <w:basedOn w:val="661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Схема документа Знак"/>
    <w:basedOn w:val="663"/>
    <w:link w:val="683"/>
    <w:uiPriority w:val="99"/>
    <w:semiHidden/>
    <w:rPr>
      <w:rFonts w:ascii="Tahoma" w:hAnsi="Tahoma" w:cs="Tahoma"/>
      <w:sz w:val="16"/>
      <w:szCs w:val="16"/>
    </w:rPr>
  </w:style>
  <w:style w:type="character" w:styleId="685" w:customStyle="1">
    <w:name w:val="Заголовок 1 Знак"/>
    <w:basedOn w:val="663"/>
    <w:link w:val="66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1C49-B1BC-4ECA-B1C4-10CFFD4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revision>10</cp:revision>
  <dcterms:created xsi:type="dcterms:W3CDTF">2017-12-25T11:03:00Z</dcterms:created>
  <dcterms:modified xsi:type="dcterms:W3CDTF">2023-10-06T10:21:35Z</dcterms:modified>
</cp:coreProperties>
</file>