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F8074" w14:textId="77777777" w:rsidR="00D41758" w:rsidRDefault="00D41758">
      <w:pPr>
        <w:contextualSpacing/>
      </w:pPr>
    </w:p>
    <w:p w14:paraId="610FC3EC" w14:textId="77777777" w:rsidR="00D41758" w:rsidRDefault="00AE5871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ПАСПОРТ УСЛУГИ (ПРОЦЕССА) ПКГУП «КЭС»</w:t>
      </w:r>
    </w:p>
    <w:p w14:paraId="34DC1039" w14:textId="77777777" w:rsidR="00D41758" w:rsidRDefault="00AE5871">
      <w:pPr>
        <w:spacing w:after="0" w:line="240" w:lineRule="auto"/>
        <w:ind w:firstLine="539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>КОД 1.8. КОНТРОЛЬНОЕ СНЯТИЕ ПОКАЗАНИЙ ПРИБОРОВ УЧЕТА</w:t>
      </w:r>
    </w:p>
    <w:p w14:paraId="79672C3A" w14:textId="77777777" w:rsidR="00D41758" w:rsidRDefault="00D417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189EE4" w14:textId="77777777" w:rsidR="00D41758" w:rsidRDefault="00AE5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КРУГ ПОТРЕБИТЕЛЕЙ: </w:t>
      </w:r>
      <w:r>
        <w:rPr>
          <w:rFonts w:ascii="Times New Roman" w:hAnsi="Times New Roman" w:cs="Times New Roman"/>
          <w:sz w:val="24"/>
          <w:szCs w:val="24"/>
        </w:rPr>
        <w:t xml:space="preserve">юридические и физические лица </w:t>
      </w:r>
      <w:r>
        <w:rPr>
          <w:rFonts w:ascii="Times New Roman" w:hAnsi="Times New Roman" w:cs="Times New Roman"/>
          <w:sz w:val="24"/>
          <w:szCs w:val="24"/>
        </w:rPr>
        <w:t xml:space="preserve">(собственники жилых домов или помещений в многоквартирных домах), индивидуальные предприниматели – потребляющие электроэнергию на основании договора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эноргоснабжения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потребители услуг по передаче электрической энергии (гарантирующие поставщики (энергосбыто</w:t>
      </w:r>
      <w:r>
        <w:rPr>
          <w:rFonts w:ascii="Times New Roman" w:hAnsi="Times New Roman" w:cs="Times New Roman"/>
          <w:sz w:val="24"/>
          <w:szCs w:val="24"/>
        </w:rPr>
        <w:t>вые/энергоснабжающие организации), исполнители коммунальных услуг), производители электроэнергии.</w:t>
      </w:r>
    </w:p>
    <w:p w14:paraId="79944101" w14:textId="77777777" w:rsidR="00D41758" w:rsidRDefault="00AE58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РАЗМЕР ПЛАТЫ ЗА ПРЕДОСТАВЛЕНИЕ УСЛУГИ (ПРОЦЕССА) И ОСНОВАНИЕ ЕЕ ВЗИМАНИЯ: </w:t>
      </w:r>
      <w:r>
        <w:rPr>
          <w:rFonts w:ascii="Times New Roman" w:hAnsi="Times New Roman" w:cs="Times New Roman"/>
          <w:sz w:val="24"/>
          <w:szCs w:val="24"/>
        </w:rPr>
        <w:t>плата не предусмотрена и не взимается.</w:t>
      </w:r>
    </w:p>
    <w:p w14:paraId="478EBBB3" w14:textId="77777777" w:rsidR="00D41758" w:rsidRDefault="00AE5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(ПРОЦЕССА):</w:t>
      </w:r>
      <w:r>
        <w:rPr>
          <w:rFonts w:ascii="Times New Roman" w:hAnsi="Times New Roman" w:cs="Times New Roman"/>
          <w:sz w:val="24"/>
          <w:szCs w:val="24"/>
        </w:rPr>
        <w:t xml:space="preserve"> технологи</w:t>
      </w:r>
      <w:r>
        <w:rPr>
          <w:rFonts w:ascii="Times New Roman" w:hAnsi="Times New Roman" w:cs="Times New Roman"/>
          <w:sz w:val="24"/>
          <w:szCs w:val="24"/>
        </w:rPr>
        <w:t>ческое присоединение к электрическим сетям сетевой организации (в том числе опосредованно) в установленном порядке энергопринимающих устройств потребителя, в отношении которых установлен и введен в эксплуатацию прибор учета</w:t>
      </w:r>
    </w:p>
    <w:p w14:paraId="49C39114" w14:textId="77777777" w:rsidR="00D41758" w:rsidRDefault="00AE5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 ОКАЗАНИЯ УСЛУГИ (ПРОЦЕ</w:t>
      </w:r>
      <w:r>
        <w:rPr>
          <w:rFonts w:ascii="Times New Roman" w:hAnsi="Times New Roman" w:cs="Times New Roman"/>
          <w:b/>
          <w:sz w:val="24"/>
          <w:szCs w:val="24"/>
        </w:rPr>
        <w:t xml:space="preserve">ССА): </w:t>
      </w:r>
      <w:r>
        <w:rPr>
          <w:rFonts w:ascii="Times New Roman" w:hAnsi="Times New Roman" w:cs="Times New Roman"/>
          <w:sz w:val="24"/>
          <w:szCs w:val="24"/>
        </w:rPr>
        <w:t>проверка правильности снятия показания расчетных приборов учета (контрольное снятие показаний).</w:t>
      </w:r>
    </w:p>
    <w:p w14:paraId="6EA177F1" w14:textId="77777777" w:rsidR="00D41758" w:rsidRDefault="00AE5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ПЕРИОДИЧНОСТЬ ОКАЗАНИЯ УСЛУГИ (ПРОЦЕССА): не чаще 1 раза в месяц для потребителей юридических лиц и </w:t>
      </w:r>
      <w:r>
        <w:rPr>
          <w:rFonts w:ascii="Times New Roman" w:hAnsi="Times New Roman" w:cs="Times New Roman"/>
          <w:sz w:val="24"/>
          <w:szCs w:val="24"/>
        </w:rPr>
        <w:t xml:space="preserve">не реже 1 раза в 6 месяцев </w:t>
      </w:r>
      <w:r>
        <w:rPr>
          <w:rFonts w:ascii="Times New Roman" w:hAnsi="Times New Roman" w:cs="Times New Roman"/>
          <w:b/>
          <w:sz w:val="24"/>
          <w:szCs w:val="24"/>
        </w:rPr>
        <w:t>для потребителей физических</w:t>
      </w:r>
      <w:r>
        <w:rPr>
          <w:rFonts w:ascii="Times New Roman" w:hAnsi="Times New Roman" w:cs="Times New Roman"/>
          <w:b/>
          <w:sz w:val="24"/>
          <w:szCs w:val="24"/>
        </w:rPr>
        <w:t xml:space="preserve"> лиц.</w:t>
      </w:r>
    </w:p>
    <w:p w14:paraId="438343EC" w14:textId="77777777" w:rsidR="00D41758" w:rsidRDefault="00AE587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44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477"/>
        <w:gridCol w:w="1834"/>
        <w:gridCol w:w="2602"/>
        <w:gridCol w:w="2742"/>
        <w:gridCol w:w="2263"/>
        <w:gridCol w:w="2441"/>
        <w:gridCol w:w="1982"/>
      </w:tblGrid>
      <w:tr w:rsidR="00D41758" w14:paraId="3515F8D2" w14:textId="77777777" w:rsidTr="00D417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single" w:sz="8" w:space="0" w:color="4F81BD" w:themeColor="accent1"/>
              <w:bottom w:val="single" w:sz="4" w:space="0" w:color="4F81BD" w:themeColor="accent1"/>
            </w:tcBorders>
            <w:shd w:val="clear" w:color="auto" w:fill="D6E3BC" w:themeFill="accent3" w:themeFillTint="66"/>
          </w:tcPr>
          <w:p w14:paraId="1DD199D1" w14:textId="77777777" w:rsidR="00D41758" w:rsidRDefault="00AE58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  <w:tcBorders>
              <w:bottom w:val="single" w:sz="4" w:space="0" w:color="4F81BD" w:themeColor="accent1"/>
              <w:right w:val="single" w:sz="4" w:space="0" w:color="FFFFFF" w:themeColor="background1"/>
            </w:tcBorders>
            <w:shd w:val="clear" w:color="auto" w:fill="D6E3BC" w:themeFill="accent3" w:themeFillTint="66"/>
          </w:tcPr>
          <w:p w14:paraId="0D069BAE" w14:textId="77777777" w:rsidR="00D41758" w:rsidRDefault="00AE58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Этап</w:t>
            </w:r>
          </w:p>
        </w:tc>
        <w:tc>
          <w:tcPr>
            <w:tcW w:w="907" w:type="pct"/>
            <w:tcBorders>
              <w:top w:val="single" w:sz="8" w:space="0" w:color="4F81BD" w:themeColor="accent1"/>
              <w:left w:val="single" w:sz="4" w:space="0" w:color="FFFFFF" w:themeColor="background1"/>
              <w:bottom w:val="single" w:sz="4" w:space="0" w:color="4F81BD" w:themeColor="accent1"/>
              <w:right w:val="single" w:sz="4" w:space="0" w:color="FFFFFF" w:themeColor="background1"/>
            </w:tcBorders>
            <w:shd w:val="clear" w:color="auto" w:fill="D6E3BC" w:themeFill="accent3" w:themeFillTint="66"/>
          </w:tcPr>
          <w:p w14:paraId="518F10E4" w14:textId="77777777" w:rsidR="00D41758" w:rsidRDefault="00AE58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left w:val="single" w:sz="4" w:space="0" w:color="FFFFFF" w:themeColor="background1"/>
              <w:bottom w:val="single" w:sz="4" w:space="0" w:color="4F81BD" w:themeColor="accent1"/>
              <w:right w:val="single" w:sz="4" w:space="0" w:color="FFFFFF" w:themeColor="background1"/>
            </w:tcBorders>
            <w:shd w:val="clear" w:color="auto" w:fill="D6E3BC" w:themeFill="accent3" w:themeFillTint="66"/>
          </w:tcPr>
          <w:p w14:paraId="7887DAE2" w14:textId="77777777" w:rsidR="00D41758" w:rsidRDefault="00AE58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Содержание</w:t>
            </w:r>
          </w:p>
        </w:tc>
        <w:tc>
          <w:tcPr>
            <w:tcW w:w="789" w:type="pct"/>
            <w:tcBorders>
              <w:top w:val="single" w:sz="8" w:space="0" w:color="4F81BD" w:themeColor="accent1"/>
              <w:left w:val="single" w:sz="4" w:space="0" w:color="FFFFFF" w:themeColor="background1"/>
              <w:bottom w:val="single" w:sz="4" w:space="0" w:color="4F81BD" w:themeColor="accent1"/>
              <w:right w:val="single" w:sz="4" w:space="0" w:color="FFFFFF" w:themeColor="background1"/>
            </w:tcBorders>
            <w:shd w:val="clear" w:color="auto" w:fill="D6E3BC" w:themeFill="accent3" w:themeFillTint="66"/>
          </w:tcPr>
          <w:p w14:paraId="0EE50B10" w14:textId="77777777" w:rsidR="00D41758" w:rsidRDefault="00AE58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pct"/>
            <w:tcBorders>
              <w:left w:val="single" w:sz="4" w:space="0" w:color="FFFFFF" w:themeColor="background1"/>
              <w:bottom w:val="single" w:sz="4" w:space="0" w:color="4F81BD" w:themeColor="accent1"/>
              <w:right w:val="single" w:sz="4" w:space="0" w:color="FFFFFF" w:themeColor="background1"/>
            </w:tcBorders>
            <w:shd w:val="clear" w:color="auto" w:fill="D6E3BC" w:themeFill="accent3" w:themeFillTint="66"/>
          </w:tcPr>
          <w:p w14:paraId="03E61B24" w14:textId="77777777" w:rsidR="00D41758" w:rsidRDefault="00AE58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Срок исполнения</w:t>
            </w:r>
          </w:p>
        </w:tc>
        <w:tc>
          <w:tcPr>
            <w:tcW w:w="691" w:type="pct"/>
            <w:tcBorders>
              <w:top w:val="single" w:sz="8" w:space="0" w:color="4F81BD" w:themeColor="accent1"/>
              <w:left w:val="single" w:sz="4" w:space="0" w:color="FFFFFF" w:themeColor="background1"/>
              <w:bottom w:val="single" w:sz="4" w:space="0" w:color="4F81BD" w:themeColor="accent1"/>
            </w:tcBorders>
            <w:shd w:val="clear" w:color="auto" w:fill="D6E3BC" w:themeFill="accent3" w:themeFillTint="66"/>
          </w:tcPr>
          <w:p w14:paraId="2DABDBA4" w14:textId="77777777" w:rsidR="00D41758" w:rsidRDefault="00AE58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Ссылка на нормативно правовой акт</w:t>
            </w:r>
          </w:p>
        </w:tc>
      </w:tr>
      <w:tr w:rsidR="00D41758" w14:paraId="05ED05A1" w14:textId="77777777" w:rsidTr="00D41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single" w:sz="4" w:space="0" w:color="4F81BD" w:themeColor="accent1"/>
            </w:tcBorders>
          </w:tcPr>
          <w:p w14:paraId="26F76CC1" w14:textId="77777777" w:rsidR="00D41758" w:rsidRDefault="00AE5871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  <w:tcBorders>
              <w:top w:val="single" w:sz="4" w:space="0" w:color="4F81BD" w:themeColor="accent1"/>
            </w:tcBorders>
          </w:tcPr>
          <w:p w14:paraId="7D13E121" w14:textId="77777777" w:rsidR="00D41758" w:rsidRDefault="00AE587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Составление </w:t>
            </w:r>
            <w:r>
              <w:rPr>
                <w:rFonts w:ascii="Times New Roman" w:hAnsi="Times New Roman" w:cs="Times New Roman"/>
              </w:rPr>
              <w:t>плана-графика проведения контрольного снятия показаний приборов учета</w:t>
            </w:r>
          </w:p>
        </w:tc>
        <w:tc>
          <w:tcPr>
            <w:tcW w:w="907" w:type="pct"/>
            <w:tcBorders>
              <w:top w:val="single" w:sz="4" w:space="0" w:color="4F81BD" w:themeColor="accent1"/>
            </w:tcBorders>
          </w:tcPr>
          <w:p w14:paraId="7EB0B7F4" w14:textId="77777777" w:rsidR="00D41758" w:rsidRDefault="00AE587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договорных отношений на энергоснабжение или на передачу электроэнергии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top w:val="single" w:sz="4" w:space="0" w:color="4F81BD" w:themeColor="accent1"/>
            </w:tcBorders>
          </w:tcPr>
          <w:p w14:paraId="5C8E0D57" w14:textId="77777777" w:rsidR="00D41758" w:rsidRDefault="00AE587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План-график сетевая организация составляет в отношении точек поставки потребителей электроэнергии, энергоп</w:t>
            </w:r>
            <w:r>
              <w:rPr>
                <w:rFonts w:ascii="Times New Roman" w:hAnsi="Times New Roman" w:cs="Times New Roman"/>
              </w:rPr>
              <w:t xml:space="preserve">ринимающие устройства которых присоединены, в том числе опосредованно, к объектам электросетевого хозяйства сетевой организации, исходя из </w:t>
            </w:r>
            <w:r>
              <w:rPr>
                <w:rFonts w:ascii="Times New Roman" w:hAnsi="Times New Roman" w:cs="Times New Roman"/>
              </w:rPr>
              <w:lastRenderedPageBreak/>
              <w:t>условия, что контрольное снятие осуществляется не чаще 1 раза в месяц</w:t>
            </w:r>
          </w:p>
        </w:tc>
        <w:tc>
          <w:tcPr>
            <w:tcW w:w="789" w:type="pct"/>
            <w:tcBorders>
              <w:top w:val="single" w:sz="4" w:space="0" w:color="4F81BD" w:themeColor="accent1"/>
            </w:tcBorders>
          </w:tcPr>
          <w:p w14:paraId="50A2ACA1" w14:textId="77777777" w:rsidR="00D41758" w:rsidRDefault="00AE587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письменном виде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pct"/>
            <w:tcBorders>
              <w:top w:val="single" w:sz="4" w:space="0" w:color="4F81BD" w:themeColor="accent1"/>
            </w:tcBorders>
          </w:tcPr>
          <w:p w14:paraId="0BC57728" w14:textId="77777777" w:rsidR="00D41758" w:rsidRDefault="00AE587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соответствии с договором 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ежду сетевой организацией и гарантирующим поставщиком </w:t>
            </w:r>
            <w:r>
              <w:rPr>
                <w:rFonts w:ascii="Times New Roman" w:hAnsi="Times New Roman" w:cs="Times New Roman"/>
              </w:rPr>
              <w:t>(энергосбытовой, энергоснабжающей организации)</w:t>
            </w:r>
          </w:p>
        </w:tc>
        <w:tc>
          <w:tcPr>
            <w:tcW w:w="691" w:type="pct"/>
            <w:tcBorders>
              <w:top w:val="single" w:sz="4" w:space="0" w:color="4F81BD" w:themeColor="accent1"/>
            </w:tcBorders>
          </w:tcPr>
          <w:p w14:paraId="3178E4C4" w14:textId="77777777" w:rsidR="00D41758" w:rsidRDefault="00AE587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Пункт 169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Основных положения функционирования розничных рынков электрической </w:t>
            </w:r>
            <w:r>
              <w:rPr>
                <w:rFonts w:ascii="Times New Roman" w:hAnsi="Times New Roman" w:cs="Times New Roman"/>
              </w:rPr>
              <w:t xml:space="preserve">энергии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утвержденных </w:t>
            </w:r>
            <w:r>
              <w:rPr>
                <w:rFonts w:ascii="Times New Roman" w:hAnsi="Times New Roman" w:cs="Times New Roman"/>
              </w:rPr>
              <w:t xml:space="preserve">постановлением Правительства РФ </w:t>
            </w:r>
            <w:r>
              <w:rPr>
                <w:rFonts w:ascii="Times New Roman" w:hAnsi="Times New Roman" w:cs="Times New Roman"/>
              </w:rPr>
              <w:lastRenderedPageBreak/>
              <w:t>от 04.05.2012 № 442</w:t>
            </w:r>
            <w:r>
              <w:rPr>
                <w:rStyle w:val="aff0"/>
                <w:rFonts w:ascii="Times New Roman" w:eastAsia="Times New Roman" w:hAnsi="Times New Roman" w:cs="Times New Roman"/>
                <w:lang w:eastAsia="ru-RU"/>
              </w:rPr>
              <w:footnoteReference w:id="1"/>
            </w:r>
          </w:p>
        </w:tc>
      </w:tr>
      <w:tr w:rsidR="00D41758" w14:paraId="27116263" w14:textId="77777777" w:rsidTr="00D41758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14:paraId="70FD9D78" w14:textId="77777777" w:rsidR="00D41758" w:rsidRDefault="00AE5871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</w:tcPr>
          <w:p w14:paraId="4C8EF656" w14:textId="77777777" w:rsidR="00D41758" w:rsidRDefault="00AE58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Доведение план-графика проведения контрольного снятия показаний до сведения гарантирующего поставщика (энергосбытовой, энергоснабжающей организации)</w:t>
            </w:r>
          </w:p>
          <w:p w14:paraId="238D10E5" w14:textId="77777777" w:rsidR="00D41758" w:rsidRDefault="00D4175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" w:type="pct"/>
          </w:tcPr>
          <w:p w14:paraId="75CDD7E3" w14:textId="77777777" w:rsidR="00D41758" w:rsidRDefault="00D417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14:paraId="74E0103B" w14:textId="77777777" w:rsidR="00D41758" w:rsidRDefault="00AE587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План-график доводится до сведения гарантирующего поставщика (энергосбытовой, энергоснабжающей организа</w:t>
            </w:r>
            <w:r>
              <w:rPr>
                <w:rFonts w:ascii="Times New Roman" w:hAnsi="Times New Roman" w:cs="Times New Roman"/>
              </w:rPr>
              <w:t>ции) в отношении тех точек поставки потребителей электроэнергии, обслуживание которых осуществляет такой гарантирующий поставщик (энергосбытовая, энергоснабжающая организация)</w:t>
            </w:r>
          </w:p>
        </w:tc>
        <w:tc>
          <w:tcPr>
            <w:tcW w:w="789" w:type="pct"/>
          </w:tcPr>
          <w:p w14:paraId="52DB8F82" w14:textId="77777777" w:rsidR="00D41758" w:rsidRDefault="00AE587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Письменное уведомление заказным письмом с уведомлением, факсом или иным способом</w:t>
            </w:r>
            <w:r>
              <w:rPr>
                <w:rFonts w:ascii="Times New Roman" w:hAnsi="Times New Roman" w:cs="Times New Roman"/>
              </w:rPr>
              <w:t xml:space="preserve">, позволяющим определить факт получения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pct"/>
          </w:tcPr>
          <w:p w14:paraId="4C1D539B" w14:textId="77777777" w:rsidR="00D41758" w:rsidRDefault="00AE587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 соответствии с соглашением между сетевой организацией и гарантирующим поставщиком (энергосбытовой, энергоснабжающей организацией)</w:t>
            </w:r>
          </w:p>
        </w:tc>
        <w:tc>
          <w:tcPr>
            <w:tcW w:w="691" w:type="pct"/>
          </w:tcPr>
          <w:p w14:paraId="1C1D31EF" w14:textId="77777777" w:rsidR="00D41758" w:rsidRDefault="00AE587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Пункт 169 Основных положений функционирования розничных рынков электрической энерги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</w:tc>
      </w:tr>
      <w:tr w:rsidR="00D41758" w14:paraId="1D427C13" w14:textId="77777777" w:rsidTr="00D41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14:paraId="60F82B28" w14:textId="77777777" w:rsidR="00D41758" w:rsidRDefault="00AE5871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</w:tcPr>
          <w:p w14:paraId="2B9C8A67" w14:textId="77777777" w:rsidR="00D41758" w:rsidRDefault="00AE587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Уведомление потребителя электроэнергии </w:t>
            </w:r>
            <w:r>
              <w:rPr>
                <w:rFonts w:ascii="Times New Roman" w:hAnsi="Times New Roman" w:cs="Times New Roman"/>
              </w:rPr>
              <w:t>о необходимости обеспечения допуска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 энергопринимающим устройствам, в границах которых установлен расчетный прибор учета </w:t>
            </w:r>
            <w:r>
              <w:rPr>
                <w:rFonts w:ascii="Times New Roman" w:hAnsi="Times New Roman" w:cs="Times New Roman"/>
              </w:rPr>
              <w:lastRenderedPageBreak/>
              <w:t>(если допуск к энергопринимающим устройствам</w:t>
            </w:r>
            <w:r>
              <w:rPr>
                <w:rFonts w:ascii="Times New Roman" w:hAnsi="Times New Roman" w:cs="Times New Roman"/>
              </w:rPr>
              <w:t xml:space="preserve"> не требуется, переходим к пункту №6)</w:t>
            </w:r>
          </w:p>
        </w:tc>
        <w:tc>
          <w:tcPr>
            <w:tcW w:w="907" w:type="pct"/>
          </w:tcPr>
          <w:p w14:paraId="2F766856" w14:textId="77777777" w:rsidR="00D41758" w:rsidRDefault="00AE587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Если для проведения контрольного снятия показаний требуется допуск к энергопринимающим устройствам (энергетическим установкам, объектам электросетевого хозяйства), в границах которых установлен расчетный прибор учета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14:paraId="6C8D79B1" w14:textId="77777777" w:rsidR="00D41758" w:rsidRDefault="00AE58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ведомление потребителя электроэнергии </w:t>
            </w:r>
            <w:r>
              <w:rPr>
                <w:rFonts w:ascii="Times New Roman" w:hAnsi="Times New Roman" w:cs="Times New Roman"/>
              </w:rPr>
              <w:t>о необходимости обеспечения допуска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 энергопринимающим устройствам, содержащее дату и время проведения контрольного снятия показаний, указанные в плане-графике проведения контрольного снятия показаний, а также информа</w:t>
            </w:r>
            <w:r>
              <w:rPr>
                <w:rFonts w:ascii="Times New Roman" w:hAnsi="Times New Roman" w:cs="Times New Roman"/>
              </w:rPr>
              <w:t>цию о последствиях недопуска.</w:t>
            </w:r>
          </w:p>
          <w:p w14:paraId="0A825BF6" w14:textId="77777777" w:rsidR="00D41758" w:rsidRDefault="00D4175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9" w:type="pct"/>
          </w:tcPr>
          <w:p w14:paraId="460EAC22" w14:textId="77777777" w:rsidR="00D41758" w:rsidRDefault="00AE587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Письменное уведомление, способом, подтверждающим получение, если иное не предусмотрено соглашением с потребителем электроэнергии.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pct"/>
          </w:tcPr>
          <w:p w14:paraId="3BEE5DEF" w14:textId="77777777" w:rsidR="00D41758" w:rsidRDefault="00AE58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За 5 рабочих дней до планируемой даты проведения контрольного снятия показаний</w:t>
            </w:r>
          </w:p>
        </w:tc>
        <w:tc>
          <w:tcPr>
            <w:tcW w:w="691" w:type="pct"/>
          </w:tcPr>
          <w:p w14:paraId="42965B89" w14:textId="77777777" w:rsidR="00D41758" w:rsidRDefault="00AE5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Пункт 170 Основн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ых положений функционирования розничных рынков электрической энергии</w:t>
            </w:r>
          </w:p>
        </w:tc>
      </w:tr>
      <w:tr w:rsidR="00D41758" w14:paraId="3C17C0D6" w14:textId="77777777" w:rsidTr="00D41758">
        <w:trPr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14:paraId="1A9EAE8F" w14:textId="77777777" w:rsidR="00D41758" w:rsidRDefault="00AE5871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</w:tcPr>
          <w:p w14:paraId="549B6CA1" w14:textId="77777777" w:rsidR="00D41758" w:rsidRDefault="00AE58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акта о недопуске к приборам учета</w:t>
            </w:r>
          </w:p>
          <w:p w14:paraId="69A33DAB" w14:textId="77777777" w:rsidR="00D41758" w:rsidRDefault="00D4175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" w:type="pct"/>
          </w:tcPr>
          <w:p w14:paraId="3681B984" w14:textId="77777777" w:rsidR="00D41758" w:rsidRDefault="00AE587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случае недопуска</w:t>
            </w:r>
            <w:r>
              <w:rPr>
                <w:rFonts w:ascii="Times New Roman" w:hAnsi="Times New Roman" w:cs="Times New Roman"/>
              </w:rPr>
              <w:t xml:space="preserve"> сетевой организации к приборам учета в указанные в уведомлении дату и время</w:t>
            </w:r>
          </w:p>
          <w:p w14:paraId="29B6C21D" w14:textId="77777777" w:rsidR="00D41758" w:rsidRDefault="00D417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14:paraId="63419F1C" w14:textId="77777777" w:rsidR="00D41758" w:rsidRDefault="00AE587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Составление акта о недопуске к приборам учета. Акт составляется в количестве экземпляров по числу участвующих лиц и подписывается уполномоченными представителями сетевой организа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ции и гарантирующего поставщика (энергоснабжающей, энергосбытовой организации), а в случае отсутствия последнего - двумя незаинтересованными лицами.</w:t>
            </w:r>
          </w:p>
        </w:tc>
        <w:tc>
          <w:tcPr>
            <w:tcW w:w="789" w:type="pct"/>
          </w:tcPr>
          <w:p w14:paraId="6781E76F" w14:textId="77777777" w:rsidR="00D41758" w:rsidRDefault="00AE587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Письменно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pct"/>
          </w:tcPr>
          <w:p w14:paraId="7D988D99" w14:textId="77777777" w:rsidR="00D41758" w:rsidRDefault="00AE5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месте</w:t>
            </w:r>
          </w:p>
        </w:tc>
        <w:tc>
          <w:tcPr>
            <w:tcW w:w="691" w:type="pct"/>
          </w:tcPr>
          <w:p w14:paraId="607D2595" w14:textId="77777777" w:rsidR="00D41758" w:rsidRDefault="00AE5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Пункт 170 Основных положений функционирования розничных рынков электрической энергии</w:t>
            </w:r>
          </w:p>
        </w:tc>
      </w:tr>
      <w:tr w:rsidR="00D41758" w14:paraId="21284B04" w14:textId="77777777" w:rsidTr="00D41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14:paraId="764DA74F" w14:textId="77777777" w:rsidR="00D41758" w:rsidRDefault="00AE5871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</w:tcPr>
          <w:p w14:paraId="1C186C2D" w14:textId="77777777" w:rsidR="00D41758" w:rsidRDefault="00AE58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>
              <w:rPr>
                <w:rFonts w:ascii="Times New Roman" w:hAnsi="Times New Roman" w:cs="Times New Roman"/>
              </w:rPr>
              <w:t>овторное направление потребителю электроэнергии уведомления о необходимости обеспечения допуска</w:t>
            </w:r>
          </w:p>
          <w:p w14:paraId="6FFAB22B" w14:textId="77777777" w:rsidR="00D41758" w:rsidRDefault="00D417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</w:tcPr>
          <w:p w14:paraId="7F9201D2" w14:textId="77777777" w:rsidR="00D41758" w:rsidRDefault="00AE587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случае недопуска сетевой организации к приборам учета в указанные в уведомлении дату и время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14:paraId="1F5CCC34" w14:textId="77777777" w:rsidR="00D41758" w:rsidRDefault="00AE58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>
              <w:rPr>
                <w:rFonts w:ascii="Times New Roman" w:hAnsi="Times New Roman" w:cs="Times New Roman"/>
              </w:rPr>
              <w:t>овторное направление потребителю электроэнергии уведомления о</w:t>
            </w:r>
            <w:r>
              <w:rPr>
                <w:rFonts w:ascii="Times New Roman" w:hAnsi="Times New Roman" w:cs="Times New Roman"/>
              </w:rPr>
              <w:t xml:space="preserve"> необходимости обеспечения допуска.</w:t>
            </w:r>
          </w:p>
        </w:tc>
        <w:tc>
          <w:tcPr>
            <w:tcW w:w="789" w:type="pct"/>
          </w:tcPr>
          <w:p w14:paraId="4612A48E" w14:textId="77777777" w:rsidR="00D41758" w:rsidRDefault="00AE587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Письменное уведомление способом, подтверждающим получение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pct"/>
          </w:tcPr>
          <w:p w14:paraId="543FC83B" w14:textId="77777777" w:rsidR="00D41758" w:rsidRDefault="00AE5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позднее 2 рабочих дней со дня недопуска</w:t>
            </w:r>
          </w:p>
        </w:tc>
        <w:tc>
          <w:tcPr>
            <w:tcW w:w="691" w:type="pct"/>
          </w:tcPr>
          <w:p w14:paraId="2DF167CF" w14:textId="77777777" w:rsidR="00D41758" w:rsidRDefault="00AE5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Пункт 170 Основных положений функционирования розничных рынков электрической энергии</w:t>
            </w:r>
          </w:p>
        </w:tc>
      </w:tr>
      <w:tr w:rsidR="00D41758" w14:paraId="10241E05" w14:textId="77777777" w:rsidTr="00D41758">
        <w:trPr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14:paraId="21D291A0" w14:textId="77777777" w:rsidR="00D41758" w:rsidRDefault="00AE5871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</w:tcPr>
          <w:p w14:paraId="2629714E" w14:textId="77777777" w:rsidR="00D41758" w:rsidRDefault="00AE58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Снятие </w:t>
            </w:r>
            <w:r>
              <w:rPr>
                <w:rFonts w:ascii="Times New Roman" w:hAnsi="Times New Roman" w:cs="Times New Roman"/>
              </w:rPr>
              <w:lastRenderedPageBreak/>
              <w:t>показаний приборов учета</w:t>
            </w:r>
            <w:r>
              <w:rPr>
                <w:rFonts w:ascii="Times New Roman" w:hAnsi="Times New Roman" w:cs="Times New Roman"/>
              </w:rPr>
              <w:t xml:space="preserve"> и оформление актом контрольного снятия показаний</w:t>
            </w:r>
          </w:p>
          <w:p w14:paraId="1EEC906F" w14:textId="77777777" w:rsidR="00D41758" w:rsidRDefault="00D417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</w:tcPr>
          <w:p w14:paraId="746DB6A8" w14:textId="77777777" w:rsidR="00D41758" w:rsidRDefault="00AE587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Обеспечение допуска к </w:t>
            </w:r>
            <w:r>
              <w:rPr>
                <w:rFonts w:ascii="Times New Roman" w:hAnsi="Times New Roman" w:cs="Times New Roman"/>
              </w:rPr>
              <w:lastRenderedPageBreak/>
              <w:t>приборам учета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14:paraId="30053E0C" w14:textId="77777777" w:rsidR="00D41758" w:rsidRDefault="00AE587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Контрольное снятие </w:t>
            </w:r>
            <w:r>
              <w:rPr>
                <w:rFonts w:ascii="Times New Roman" w:hAnsi="Times New Roman" w:cs="Times New Roman"/>
              </w:rPr>
              <w:lastRenderedPageBreak/>
              <w:t xml:space="preserve">показаний и составление акта контрольного снятия показаний, который подписывается сетевой организацией, а гарантирующим поставщиком (энергосбытовой, </w:t>
            </w:r>
            <w:r>
              <w:rPr>
                <w:rFonts w:ascii="Times New Roman" w:hAnsi="Times New Roman" w:cs="Times New Roman"/>
              </w:rPr>
              <w:t>энергоснабжающей организацией) и потребителем (производителем электрической энергии (мощности) на розничном рынке) - в случае их присутствия</w:t>
            </w:r>
          </w:p>
        </w:tc>
        <w:tc>
          <w:tcPr>
            <w:tcW w:w="789" w:type="pct"/>
          </w:tcPr>
          <w:p w14:paraId="542A254E" w14:textId="77777777" w:rsidR="00D41758" w:rsidRDefault="00AE587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Очно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pct"/>
          </w:tcPr>
          <w:p w14:paraId="6FE5FE18" w14:textId="77777777" w:rsidR="00D41758" w:rsidRDefault="00AE5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месте</w:t>
            </w:r>
          </w:p>
        </w:tc>
        <w:tc>
          <w:tcPr>
            <w:tcW w:w="691" w:type="pct"/>
          </w:tcPr>
          <w:p w14:paraId="6551D9F9" w14:textId="77777777" w:rsidR="00D41758" w:rsidRDefault="00AE5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Пункт 171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Основных положений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функционирования розничных рынков электрической энергии</w:t>
            </w:r>
          </w:p>
        </w:tc>
      </w:tr>
      <w:tr w:rsidR="00D41758" w14:paraId="6E4A7C54" w14:textId="77777777" w:rsidTr="00D41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14:paraId="54A06342" w14:textId="77777777" w:rsidR="00D41758" w:rsidRDefault="00AE5871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</w:tcPr>
          <w:p w14:paraId="280CB2B8" w14:textId="0E1FB277" w:rsidR="00D41758" w:rsidRDefault="00AE58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ередача копии акта  гарантирующему поставщику (энергосбытовой, </w:t>
            </w:r>
            <w:r>
              <w:rPr>
                <w:rFonts w:ascii="Times New Roman" w:hAnsi="Times New Roman" w:cs="Times New Roman"/>
              </w:rPr>
              <w:t>энергоснабжающей организации)</w:t>
            </w:r>
          </w:p>
        </w:tc>
        <w:tc>
          <w:tcPr>
            <w:tcW w:w="907" w:type="pct"/>
          </w:tcPr>
          <w:p w14:paraId="0A310B39" w14:textId="77777777" w:rsidR="00D41758" w:rsidRDefault="00AE587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Если гарантирующий поставщик (энергосбытовая, энергоснабжающая  организация) не участвовал при проведе</w:t>
            </w:r>
            <w:r>
              <w:rPr>
                <w:rFonts w:ascii="Times New Roman" w:hAnsi="Times New Roman" w:cs="Times New Roman"/>
              </w:rPr>
              <w:t>нии контрольного снятия показаний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14:paraId="16883D09" w14:textId="77777777" w:rsidR="00D41758" w:rsidRDefault="00AE5871">
            <w:pPr>
              <w:jc w:val="both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>
              <w:rPr>
                <w:rFonts w:ascii="Times New Roman" w:hAnsi="Times New Roman" w:cs="Times New Roman"/>
              </w:rPr>
              <w:t>ередача копии акта  гарантирующему поставщику (энергосбытовой, энергоснабжающей организации)</w:t>
            </w:r>
          </w:p>
        </w:tc>
        <w:tc>
          <w:tcPr>
            <w:tcW w:w="789" w:type="pct"/>
          </w:tcPr>
          <w:p w14:paraId="039A4602" w14:textId="77777777" w:rsidR="00D41758" w:rsidRDefault="00AE587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аказным письмом с уведомлением, факсом или иным другим способом, позволяющим определить дату и время передачи копии акта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pct"/>
          </w:tcPr>
          <w:p w14:paraId="507C75FF" w14:textId="77777777" w:rsidR="00D41758" w:rsidRDefault="00AE5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3 рабочих дней после составления акта</w:t>
            </w:r>
          </w:p>
        </w:tc>
        <w:tc>
          <w:tcPr>
            <w:tcW w:w="691" w:type="pct"/>
          </w:tcPr>
          <w:p w14:paraId="51C7851D" w14:textId="77777777" w:rsidR="00D41758" w:rsidRDefault="00AE5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Пункт 171 Основных положений функционирования розничных рынков электрической энергии</w:t>
            </w:r>
          </w:p>
        </w:tc>
      </w:tr>
      <w:tr w:rsidR="00D41758" w14:paraId="040402CF" w14:textId="77777777" w:rsidTr="00D41758">
        <w:trPr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14:paraId="3A9097B4" w14:textId="77777777" w:rsidR="00D41758" w:rsidRDefault="00D4175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</w:tcPr>
          <w:p w14:paraId="5818B186" w14:textId="77777777" w:rsidR="00D41758" w:rsidRDefault="00AE587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Контрольное снятие показаний ПУ в многоквартирном доме</w:t>
            </w:r>
          </w:p>
        </w:tc>
        <w:tc>
          <w:tcPr>
            <w:tcW w:w="907" w:type="pct"/>
          </w:tcPr>
          <w:p w14:paraId="465F596A" w14:textId="77777777" w:rsidR="00D41758" w:rsidRDefault="00D417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14:paraId="52F61B63" w14:textId="77777777" w:rsidR="00D41758" w:rsidRDefault="00D4175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9" w:type="pct"/>
          </w:tcPr>
          <w:p w14:paraId="468583AD" w14:textId="77777777" w:rsidR="00D41758" w:rsidRDefault="00D417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pct"/>
          </w:tcPr>
          <w:p w14:paraId="0B194E1B" w14:textId="77777777" w:rsidR="00D41758" w:rsidRDefault="00D41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</w:tcPr>
          <w:p w14:paraId="64D61582" w14:textId="77777777" w:rsidR="00D41758" w:rsidRDefault="00AE5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П. 169 ОПФРРЭ + ППКУ</w:t>
            </w:r>
          </w:p>
        </w:tc>
      </w:tr>
      <w:tr w:rsidR="00D41758" w14:paraId="14C076C0" w14:textId="77777777" w:rsidTr="00D41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14:paraId="28EC65DD" w14:textId="77777777" w:rsidR="00D41758" w:rsidRDefault="00D4175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</w:tcPr>
          <w:p w14:paraId="100C9EA3" w14:textId="77777777" w:rsidR="00D41758" w:rsidRDefault="00AE587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Контрольное снятие показаний ПУ в домовладениях</w:t>
            </w:r>
          </w:p>
        </w:tc>
        <w:tc>
          <w:tcPr>
            <w:tcW w:w="907" w:type="pct"/>
          </w:tcPr>
          <w:p w14:paraId="4F2E9467" w14:textId="77777777" w:rsidR="00D41758" w:rsidRDefault="00D4175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14:paraId="49000E4E" w14:textId="77777777" w:rsidR="00D41758" w:rsidRDefault="00D4175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9" w:type="pct"/>
          </w:tcPr>
          <w:p w14:paraId="2231ACD7" w14:textId="77777777" w:rsidR="00D41758" w:rsidRDefault="00D4175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pct"/>
          </w:tcPr>
          <w:p w14:paraId="66C07A29" w14:textId="77777777" w:rsidR="00D41758" w:rsidRDefault="00D41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</w:tcPr>
          <w:p w14:paraId="011B70BB" w14:textId="77777777" w:rsidR="00D41758" w:rsidRDefault="00AE5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ППКУ</w:t>
            </w:r>
          </w:p>
        </w:tc>
      </w:tr>
    </w:tbl>
    <w:p w14:paraId="36985BCC" w14:textId="77777777" w:rsidR="00D41758" w:rsidRDefault="00D41758">
      <w:pPr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14:paraId="0E06815C" w14:textId="77777777" w:rsidR="00D41758" w:rsidRDefault="00AE5871">
      <w:pPr>
        <w:spacing w:after="6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КОНТАКТНАЯ ИНФОРМАЦИЯ ДЛЯ НАПРАВЛЕНИЯ ОБРАЩЕНИИЙ: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9D52EE" w14:textId="77777777" w:rsidR="00D41758" w:rsidRDefault="00AE5871">
      <w:pPr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Номер телефонного центра обслуживания ПКГУП «КЭС» в г. Кунгур 8(34271)20298; в г. Чернушка </w:t>
      </w:r>
      <w:r>
        <w:rPr>
          <w:rFonts w:ascii="Times New Roman" w:eastAsia="Times New Roman" w:hAnsi="Times New Roman" w:cs="Times New Roman"/>
          <w:color w:val="000000"/>
        </w:rPr>
        <w:t>8(34261)40909</w:t>
      </w:r>
    </w:p>
    <w:p w14:paraId="70834A40" w14:textId="77777777" w:rsidR="00D41758" w:rsidRDefault="00AE587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электронной почты ПКГУП «КЭС» в г. Кунгур </w:t>
      </w:r>
      <w:hyperlink r:id="rId8" w:tooltip="http://delo_kungur@chernseti.ru" w:history="1">
        <w:r>
          <w:rPr>
            <w:rFonts w:ascii="Times New Roman" w:hAnsi="Times New Roman" w:cs="Times New Roman"/>
            <w:b/>
            <w:bCs/>
          </w:rPr>
          <w:t>delo_kungur@chernseti.ru</w:t>
        </w:r>
      </w:hyperlink>
      <w:r>
        <w:rPr>
          <w:rFonts w:ascii="Times New Roman" w:hAnsi="Times New Roman" w:cs="Times New Roman"/>
          <w:b/>
          <w:bCs/>
        </w:rPr>
        <w:t>;</w:t>
      </w:r>
      <w:r>
        <w:rPr>
          <w:rFonts w:ascii="Times New Roman" w:hAnsi="Times New Roman" w:cs="Times New Roman"/>
        </w:rPr>
        <w:t xml:space="preserve"> в г. Чернушка </w:t>
      </w:r>
      <w:r>
        <w:rPr>
          <w:rFonts w:ascii="Times New Roman" w:eastAsia="Times New Roman" w:hAnsi="Times New Roman" w:cs="Times New Roman"/>
          <w:b/>
          <w:color w:val="000000"/>
        </w:rPr>
        <w:t>info@chernseti.ru</w:t>
      </w:r>
    </w:p>
    <w:p w14:paraId="77C478A0" w14:textId="77777777" w:rsidR="00D41758" w:rsidRDefault="00D4175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548A3C" w14:textId="77777777" w:rsidR="00D41758" w:rsidRDefault="00D41758">
      <w:pPr>
        <w:spacing w:after="0" w:line="240" w:lineRule="auto"/>
        <w:ind w:left="709"/>
        <w:jc w:val="both"/>
        <w:rPr>
          <w:sz w:val="24"/>
          <w:szCs w:val="24"/>
        </w:rPr>
      </w:pPr>
    </w:p>
    <w:sectPr w:rsidR="00D41758">
      <w:pgSz w:w="16838" w:h="11906" w:orient="landscape"/>
      <w:pgMar w:top="993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1BA3E" w14:textId="77777777" w:rsidR="00D41758" w:rsidRDefault="00AE5871">
      <w:pPr>
        <w:spacing w:after="0" w:line="240" w:lineRule="auto"/>
      </w:pPr>
      <w:r>
        <w:separator/>
      </w:r>
    </w:p>
  </w:endnote>
  <w:endnote w:type="continuationSeparator" w:id="0">
    <w:p w14:paraId="3B82C6A1" w14:textId="77777777" w:rsidR="00D41758" w:rsidRDefault="00AE5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8003C" w14:textId="77777777" w:rsidR="00D41758" w:rsidRDefault="00AE5871">
      <w:pPr>
        <w:spacing w:after="0" w:line="240" w:lineRule="auto"/>
      </w:pPr>
      <w:r>
        <w:separator/>
      </w:r>
    </w:p>
  </w:footnote>
  <w:footnote w:type="continuationSeparator" w:id="0">
    <w:p w14:paraId="62764B3B" w14:textId="77777777" w:rsidR="00D41758" w:rsidRDefault="00AE5871">
      <w:pPr>
        <w:spacing w:after="0" w:line="240" w:lineRule="auto"/>
      </w:pPr>
      <w:r>
        <w:continuationSeparator/>
      </w:r>
    </w:p>
  </w:footnote>
  <w:footnote w:id="1">
    <w:p w14:paraId="73EC2278" w14:textId="77777777" w:rsidR="00D41758" w:rsidRDefault="00AE5871">
      <w:pPr>
        <w:spacing w:after="0" w:line="240" w:lineRule="auto"/>
        <w:jc w:val="both"/>
      </w:pPr>
      <w:r>
        <w:rPr>
          <w:rStyle w:val="aff0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Основы функционирования розничных рынков электрической энергии, утвержденные </w:t>
      </w:r>
      <w:r>
        <w:rPr>
          <w:rFonts w:ascii="Times New Roman" w:hAnsi="Times New Roman" w:cs="Times New Roman"/>
          <w:sz w:val="20"/>
          <w:szCs w:val="20"/>
        </w:rPr>
        <w:t>постановлением Правительства РФ от 04.05.2012 № 442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A48D1"/>
    <w:multiLevelType w:val="hybridMultilevel"/>
    <w:tmpl w:val="9DC040EC"/>
    <w:lvl w:ilvl="0" w:tplc="2EA870B8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DE5ADB10">
      <w:start w:val="1"/>
      <w:numFmt w:val="lowerLetter"/>
      <w:lvlText w:val="%2."/>
      <w:lvlJc w:val="left"/>
      <w:pPr>
        <w:ind w:left="1627" w:hanging="360"/>
      </w:pPr>
    </w:lvl>
    <w:lvl w:ilvl="2" w:tplc="95684A98">
      <w:start w:val="1"/>
      <w:numFmt w:val="lowerRoman"/>
      <w:lvlText w:val="%3."/>
      <w:lvlJc w:val="right"/>
      <w:pPr>
        <w:ind w:left="2347" w:hanging="180"/>
      </w:pPr>
    </w:lvl>
    <w:lvl w:ilvl="3" w:tplc="3C5E3B38">
      <w:start w:val="1"/>
      <w:numFmt w:val="decimal"/>
      <w:lvlText w:val="%4."/>
      <w:lvlJc w:val="left"/>
      <w:pPr>
        <w:ind w:left="3067" w:hanging="360"/>
      </w:pPr>
    </w:lvl>
    <w:lvl w:ilvl="4" w:tplc="5D981FAE">
      <w:start w:val="1"/>
      <w:numFmt w:val="lowerLetter"/>
      <w:lvlText w:val="%5."/>
      <w:lvlJc w:val="left"/>
      <w:pPr>
        <w:ind w:left="3787" w:hanging="360"/>
      </w:pPr>
    </w:lvl>
    <w:lvl w:ilvl="5" w:tplc="B5203696">
      <w:start w:val="1"/>
      <w:numFmt w:val="lowerRoman"/>
      <w:lvlText w:val="%6."/>
      <w:lvlJc w:val="right"/>
      <w:pPr>
        <w:ind w:left="4507" w:hanging="180"/>
      </w:pPr>
    </w:lvl>
    <w:lvl w:ilvl="6" w:tplc="8A94E5FA">
      <w:start w:val="1"/>
      <w:numFmt w:val="decimal"/>
      <w:lvlText w:val="%7."/>
      <w:lvlJc w:val="left"/>
      <w:pPr>
        <w:ind w:left="5227" w:hanging="360"/>
      </w:pPr>
    </w:lvl>
    <w:lvl w:ilvl="7" w:tplc="481272E0">
      <w:start w:val="1"/>
      <w:numFmt w:val="lowerLetter"/>
      <w:lvlText w:val="%8."/>
      <w:lvlJc w:val="left"/>
      <w:pPr>
        <w:ind w:left="5947" w:hanging="360"/>
      </w:pPr>
    </w:lvl>
    <w:lvl w:ilvl="8" w:tplc="8BF8252A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1758"/>
    <w:rsid w:val="00AE5871"/>
    <w:rsid w:val="00D4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AD108"/>
  <w15:docId w15:val="{599D7C6A-6C8E-451A-8F29-4861FE94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character" w:styleId="af8">
    <w:name w:val="Strong"/>
    <w:basedOn w:val="a0"/>
    <w:uiPriority w:val="22"/>
    <w:qFormat/>
    <w:rPr>
      <w:b/>
      <w:bCs/>
    </w:rPr>
  </w:style>
  <w:style w:type="paragraph" w:customStyle="1" w:styleId="Default">
    <w:name w:val="Default"/>
    <w:pPr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one" w:sz="4" w:space="0" w:color="000000"/>
          <w:bottom w:val="single" w:sz="8" w:space="0" w:color="4F81BD" w:themeColor="accen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one" w:sz="4" w:space="0" w:color="000000"/>
          <w:bottom w:val="single" w:sz="8" w:space="0" w:color="4F81BD" w:themeColor="accen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</w:style>
  <w:style w:type="paragraph" w:styleId="afe">
    <w:name w:val="footnote text"/>
    <w:basedOn w:val="a"/>
    <w:link w:val="aff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Pr>
      <w:sz w:val="20"/>
      <w:szCs w:val="20"/>
    </w:rPr>
  </w:style>
  <w:style w:type="character" w:styleId="aff0">
    <w:name w:val="footnote reference"/>
    <w:basedOn w:val="a0"/>
    <w:uiPriority w:val="99"/>
    <w:semiHidden/>
    <w:unhideWhenUsed/>
    <w:rPr>
      <w:vertAlign w:val="superscript"/>
    </w:rPr>
  </w:style>
  <w:style w:type="table" w:customStyle="1" w:styleId="-110">
    <w:name w:val="Светлый список - Акцент 11"/>
    <w:basedOn w:val="a1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f1">
    <w:name w:val="Document Map"/>
    <w:basedOn w:val="a"/>
    <w:link w:val="aff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Схема документа Знак"/>
    <w:basedOn w:val="a0"/>
    <w:link w:val="aff1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</w:style>
  <w:style w:type="character" w:styleId="aff3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lo_kungur@chernset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DE3D7-7A42-4631-88D1-05761110C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984</Words>
  <Characters>5611</Characters>
  <Application>Microsoft Office Word</Application>
  <DocSecurity>0</DocSecurity>
  <Lines>46</Lines>
  <Paragraphs>13</Paragraphs>
  <ScaleCrop>false</ScaleCrop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Газданова М.А.</dc:creator>
  <cp:lastModifiedBy>DenEP</cp:lastModifiedBy>
  <cp:revision>10</cp:revision>
  <dcterms:created xsi:type="dcterms:W3CDTF">2017-12-25T10:26:00Z</dcterms:created>
  <dcterms:modified xsi:type="dcterms:W3CDTF">2023-10-17T12:24:00Z</dcterms:modified>
</cp:coreProperties>
</file>