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Сведения о балансе электрической энергии и мощности</w:t>
      </w:r>
      <w:r/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tbl>
      <w:tblPr>
        <w:tblStyle w:val="604"/>
        <w:tblW w:w="0" w:type="auto"/>
        <w:tblLook w:val="04A0" w:firstRow="1" w:lastRow="0" w:firstColumn="1" w:lastColumn="0" w:noHBand="0" w:noVBand="1"/>
      </w:tblPr>
      <w:tblGrid>
        <w:gridCol w:w="2177"/>
        <w:gridCol w:w="2062"/>
        <w:gridCol w:w="2010"/>
        <w:gridCol w:w="2035"/>
        <w:gridCol w:w="2035"/>
        <w:gridCol w:w="2014"/>
      </w:tblGrid>
      <w:tr>
        <w:trPr/>
        <w:tc>
          <w:tcPr>
            <w:tcW w:w="21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Показатель</w:t>
            </w:r>
            <w:r/>
          </w:p>
        </w:tc>
        <w:tc>
          <w:tcPr>
            <w:tcW w:w="20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  <w:r/>
          </w:p>
        </w:tc>
        <w:tc>
          <w:tcPr>
            <w:tcW w:w="20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ВН</w:t>
            </w:r>
            <w:r/>
          </w:p>
        </w:tc>
        <w:tc>
          <w:tcPr>
            <w:tcW w:w="20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СН1</w:t>
            </w:r>
            <w:r/>
          </w:p>
        </w:tc>
        <w:tc>
          <w:tcPr>
            <w:tcW w:w="20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СН2</w:t>
            </w:r>
            <w:r/>
          </w:p>
        </w:tc>
        <w:tc>
          <w:tcPr>
            <w:tcW w:w="201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НН</w:t>
            </w:r>
            <w:r/>
          </w:p>
        </w:tc>
      </w:tr>
      <w:tr>
        <w:trPr/>
        <w:tc>
          <w:tcPr>
            <w:tcW w:w="2177" w:type="dxa"/>
            <w:textDirection w:val="lrTb"/>
            <w:noWrap w:val="false"/>
          </w:tcPr>
          <w:p>
            <w:pPr>
              <w:jc w:val="both"/>
              <w:spacing w:before="390" w:after="315"/>
              <w:rPr>
                <w:rFonts w:ascii="Times New Roman" w:hAnsi="Times New Roman" w:eastAsia="Times New Roman"/>
                <w:b/>
                <w:bCs/>
              </w:rPr>
              <w:outlineLvl w:val="1"/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Поступление  электроэнергии в сеть (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млн.кВтч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b/>
                <w:bCs/>
              </w:rPr>
            </w:r>
          </w:p>
        </w:tc>
        <w:tc>
          <w:tcPr>
            <w:tcW w:w="2062" w:type="dxa"/>
            <w:vAlign w:val="center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ahoma" w:hAnsi="Tahoma" w:eastAsia="Tahoma" w:cs="Tahoma"/>
                <w:color w:val="000000"/>
                <w:sz w:val="16"/>
              </w:rPr>
              <w:t xml:space="preserve">1 564 438,506</w:t>
            </w:r>
            <w:r/>
          </w:p>
        </w:tc>
        <w:tc>
          <w:tcPr>
            <w:tcW w:w="2010" w:type="dxa"/>
            <w:vAlign w:val="center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ahoma" w:hAnsi="Tahoma" w:eastAsia="Tahoma" w:cs="Tahoma"/>
                <w:color w:val="000000"/>
                <w:sz w:val="16"/>
              </w:rPr>
              <w:t xml:space="preserve">1 323 134,120</w:t>
            </w:r>
            <w:r/>
          </w:p>
        </w:tc>
        <w:tc>
          <w:tcPr>
            <w:tcW w:w="2035" w:type="dxa"/>
            <w:vAlign w:val="center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ahoma" w:hAnsi="Tahoma" w:eastAsia="Tahoma" w:cs="Tahoma"/>
                <w:color w:val="000000"/>
                <w:sz w:val="16"/>
              </w:rPr>
              <w:t xml:space="preserve">226 541,639</w:t>
            </w:r>
            <w:r/>
          </w:p>
        </w:tc>
        <w:tc>
          <w:tcPr>
            <w:tcW w:w="2035" w:type="dxa"/>
            <w:vAlign w:val="center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ahoma" w:hAnsi="Tahoma" w:eastAsia="Tahoma" w:cs="Tahoma"/>
                <w:color w:val="000000"/>
                <w:sz w:val="16"/>
              </w:rPr>
              <w:t xml:space="preserve">14 286,577</w:t>
            </w:r>
            <w:r/>
          </w:p>
        </w:tc>
        <w:tc>
          <w:tcPr>
            <w:tcW w:w="2014" w:type="dxa"/>
            <w:vAlign w:val="center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ahoma" w:hAnsi="Tahoma" w:eastAsia="Tahoma" w:cs="Tahoma"/>
                <w:color w:val="000000"/>
                <w:sz w:val="16"/>
              </w:rPr>
              <w:t xml:space="preserve">476,170</w:t>
            </w:r>
            <w:r/>
          </w:p>
        </w:tc>
      </w:tr>
      <w:tr>
        <w:trPr/>
        <w:tc>
          <w:tcPr>
            <w:tcW w:w="2177" w:type="dxa"/>
            <w:textDirection w:val="lrTb"/>
            <w:noWrap w:val="false"/>
          </w:tcPr>
          <w:p>
            <w:pPr>
              <w:jc w:val="both"/>
              <w:spacing w:before="390" w:after="315"/>
              <w:rPr>
                <w:rFonts w:ascii="Times New Roman" w:hAnsi="Times New Roman" w:eastAsia="Times New Roman"/>
                <w:b/>
                <w:bCs/>
              </w:rPr>
              <w:outlineLvl w:val="1"/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Поступление  мощности в сеть(МВт)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b/>
                <w:bCs/>
              </w:rPr>
            </w:r>
          </w:p>
        </w:tc>
        <w:tc>
          <w:tcPr>
            <w:tcW w:w="2062" w:type="dxa"/>
            <w:vAlign w:val="center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ahoma" w:hAnsi="Tahoma" w:eastAsia="Tahoma" w:cs="Tahoma"/>
                <w:color w:val="000000"/>
                <w:sz w:val="16"/>
              </w:rPr>
              <w:t xml:space="preserve">203,654</w:t>
            </w:r>
            <w:r/>
          </w:p>
        </w:tc>
        <w:tc>
          <w:tcPr>
            <w:tcW w:w="2010" w:type="dxa"/>
            <w:vAlign w:val="center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ahoma" w:hAnsi="Tahoma" w:eastAsia="Tahoma" w:cs="Tahoma"/>
                <w:color w:val="000000"/>
                <w:sz w:val="16"/>
              </w:rPr>
              <w:t xml:space="preserve">172,241</w:t>
            </w:r>
            <w:r/>
          </w:p>
        </w:tc>
        <w:tc>
          <w:tcPr>
            <w:tcW w:w="2035" w:type="dxa"/>
            <w:vAlign w:val="center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ahoma" w:hAnsi="Tahoma" w:eastAsia="Tahoma" w:cs="Tahoma"/>
                <w:color w:val="000000"/>
                <w:sz w:val="16"/>
              </w:rPr>
              <w:t xml:space="preserve">29,490</w:t>
            </w:r>
            <w:r/>
          </w:p>
        </w:tc>
        <w:tc>
          <w:tcPr>
            <w:tcW w:w="2035" w:type="dxa"/>
            <w:vAlign w:val="center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ahoma" w:hAnsi="Tahoma" w:eastAsia="Tahoma" w:cs="Tahoma"/>
                <w:color w:val="000000"/>
                <w:sz w:val="16"/>
              </w:rPr>
              <w:t xml:space="preserve">1,861</w:t>
            </w:r>
            <w:r/>
          </w:p>
        </w:tc>
        <w:tc>
          <w:tcPr>
            <w:tcW w:w="2014" w:type="dxa"/>
            <w:vAlign w:val="center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ahoma" w:hAnsi="Tahoma" w:eastAsia="Tahoma" w:cs="Tahoma"/>
                <w:color w:val="000000"/>
                <w:sz w:val="16"/>
              </w:rPr>
              <w:t xml:space="preserve">0,062</w:t>
            </w:r>
            <w:r/>
          </w:p>
        </w:tc>
      </w:tr>
      <w:tr>
        <w:trPr/>
        <w:tc>
          <w:tcPr>
            <w:tcW w:w="2177" w:type="dxa"/>
            <w:textDirection w:val="lrTb"/>
            <w:noWrap w:val="false"/>
          </w:tcPr>
          <w:p>
            <w:pPr>
              <w:jc w:val="both"/>
              <w:spacing w:before="390" w:after="315"/>
              <w:rPr>
                <w:rFonts w:ascii="Times New Roman" w:hAnsi="Times New Roman" w:eastAsia="Times New Roman"/>
                <w:b/>
                <w:bCs/>
              </w:rPr>
              <w:outlineLvl w:val="1"/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Потери  электроэнергии в сети (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млн.кВтч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)        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b/>
                <w:bCs/>
              </w:rPr>
            </w:r>
          </w:p>
        </w:tc>
        <w:tc>
          <w:tcPr>
            <w:tcW w:w="2062" w:type="dxa"/>
            <w:vAlign w:val="center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ahoma" w:hAnsi="Tahoma" w:eastAsia="Tahoma" w:cs="Tahoma"/>
                <w:color w:val="000000"/>
                <w:sz w:val="16"/>
              </w:rPr>
              <w:t xml:space="preserve">72 125,908</w:t>
            </w:r>
            <w:r/>
            <w:r/>
          </w:p>
        </w:tc>
        <w:tc>
          <w:tcPr>
            <w:tcW w:w="2010" w:type="dxa"/>
            <w:vAlign w:val="center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ahoma" w:hAnsi="Tahoma" w:eastAsia="Tahoma" w:cs="Tahoma"/>
                <w:color w:val="000000"/>
                <w:sz w:val="16"/>
              </w:rPr>
              <w:t xml:space="preserve">54 623,987</w:t>
            </w:r>
            <w:r/>
            <w:r/>
          </w:p>
        </w:tc>
        <w:tc>
          <w:tcPr>
            <w:tcW w:w="2035" w:type="dxa"/>
            <w:vAlign w:val="center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ahoma" w:hAnsi="Tahoma" w:eastAsia="Tahoma" w:cs="Tahoma"/>
                <w:color w:val="000000"/>
                <w:sz w:val="16"/>
              </w:rPr>
              <w:t xml:space="preserve">13 781,806</w:t>
            </w:r>
            <w:r/>
            <w:r/>
          </w:p>
        </w:tc>
        <w:tc>
          <w:tcPr>
            <w:tcW w:w="2035" w:type="dxa"/>
            <w:vAlign w:val="center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ahoma" w:hAnsi="Tahoma" w:eastAsia="Tahoma" w:cs="Tahoma"/>
                <w:color w:val="000000"/>
                <w:sz w:val="16"/>
              </w:rPr>
              <w:t xml:space="preserve">3 673,964</w:t>
            </w:r>
            <w:r/>
            <w:r/>
          </w:p>
        </w:tc>
        <w:tc>
          <w:tcPr>
            <w:tcW w:w="2014" w:type="dxa"/>
            <w:vAlign w:val="center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ahoma" w:hAnsi="Tahoma" w:eastAsia="Tahoma" w:cs="Tahoma"/>
                <w:color w:val="000000"/>
                <w:sz w:val="16"/>
              </w:rPr>
              <w:t xml:space="preserve">46,151</w:t>
            </w:r>
            <w:r/>
            <w:r/>
          </w:p>
        </w:tc>
      </w:tr>
      <w:tr>
        <w:trPr/>
        <w:tc>
          <w:tcPr>
            <w:tcW w:w="2177" w:type="dxa"/>
            <w:textDirection w:val="lrTb"/>
            <w:noWrap w:val="false"/>
          </w:tcPr>
          <w:p>
            <w:pPr>
              <w:jc w:val="both"/>
              <w:spacing w:before="390" w:after="315"/>
              <w:rPr>
                <w:rFonts w:ascii="Times New Roman" w:hAnsi="Times New Roman" w:eastAsia="Times New Roman"/>
                <w:b/>
                <w:bCs/>
              </w:rPr>
              <w:outlineLvl w:val="1"/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Потери мощности в сети (МВт)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b/>
                <w:bCs/>
              </w:rPr>
            </w:r>
          </w:p>
        </w:tc>
        <w:tc>
          <w:tcPr>
            <w:tcW w:w="2062" w:type="dxa"/>
            <w:vAlign w:val="center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ahoma" w:hAnsi="Tahoma" w:eastAsia="Tahoma" w:cs="Tahoma"/>
                <w:color w:val="000000"/>
                <w:sz w:val="16"/>
              </w:rPr>
              <w:t xml:space="preserve">9,389</w:t>
            </w:r>
            <w:r/>
            <w:r/>
          </w:p>
        </w:tc>
        <w:tc>
          <w:tcPr>
            <w:tcW w:w="2010" w:type="dxa"/>
            <w:vAlign w:val="center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ahoma" w:hAnsi="Tahoma" w:eastAsia="Tahoma" w:cs="Tahoma"/>
                <w:color w:val="000000"/>
                <w:sz w:val="16"/>
              </w:rPr>
              <w:t xml:space="preserve">7,111</w:t>
            </w:r>
            <w:r/>
            <w:r/>
          </w:p>
        </w:tc>
        <w:tc>
          <w:tcPr>
            <w:tcW w:w="2035" w:type="dxa"/>
            <w:vAlign w:val="center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ahoma" w:hAnsi="Tahoma" w:eastAsia="Tahoma" w:cs="Tahoma"/>
                <w:color w:val="000000"/>
                <w:sz w:val="16"/>
              </w:rPr>
              <w:t xml:space="preserve">1,794</w:t>
            </w:r>
            <w:r/>
            <w:r/>
          </w:p>
        </w:tc>
        <w:tc>
          <w:tcPr>
            <w:tcW w:w="2035" w:type="dxa"/>
            <w:vAlign w:val="center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ahoma" w:hAnsi="Tahoma" w:eastAsia="Tahoma" w:cs="Tahoma"/>
                <w:color w:val="000000"/>
                <w:sz w:val="16"/>
              </w:rPr>
              <w:t xml:space="preserve">0,478</w:t>
            </w:r>
            <w:r/>
            <w:r/>
          </w:p>
        </w:tc>
        <w:tc>
          <w:tcPr>
            <w:tcW w:w="2014" w:type="dxa"/>
            <w:vAlign w:val="center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ahoma" w:hAnsi="Tahoma" w:eastAsia="Tahoma" w:cs="Tahoma"/>
                <w:color w:val="000000"/>
                <w:sz w:val="16"/>
              </w:rPr>
              <w:t xml:space="preserve">0,006</w:t>
            </w:r>
            <w:r/>
            <w:r/>
          </w:p>
        </w:tc>
      </w:tr>
      <w:tr>
        <w:trPr>
          <w:trHeight w:val="1062"/>
        </w:trPr>
        <w:tc>
          <w:tcPr>
            <w:tcW w:w="2177" w:type="dxa"/>
            <w:textDirection w:val="lrTb"/>
            <w:noWrap w:val="false"/>
          </w:tcPr>
          <w:p>
            <w:pPr>
              <w:jc w:val="both"/>
              <w:spacing w:before="390" w:after="315"/>
              <w:rPr>
                <w:rFonts w:ascii="Times New Roman" w:hAnsi="Times New Roman" w:eastAsia="Times New Roman"/>
                <w:b/>
                <w:bCs/>
              </w:rPr>
              <w:outlineLvl w:val="1"/>
            </w:pPr>
            <w:r>
              <w:rPr>
                <w:b/>
                <w:bCs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Потери  в сети, %         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b/>
                <w:bCs/>
              </w:rPr>
            </w:r>
          </w:p>
        </w:tc>
        <w:tc>
          <w:tcPr>
            <w:tcW w:w="2062" w:type="dxa"/>
            <w:vAlign w:val="center"/>
            <w:textDirection w:val="lrTb"/>
            <w:noWrap w:val="false"/>
          </w:tcPr>
          <w:p>
            <w:pPr>
              <w:jc w:val="right"/>
              <w:spacing w:before="0" w:after="0" w:line="57" w:lineRule="atLeast"/>
              <w:rPr>
                <w:rFonts w:ascii="Tahoma" w:hAnsi="Tahoma" w:eastAsia="Tahoma" w:cs="Tahoma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ahoma" w:hAnsi="Tahoma" w:eastAsia="Tahoma" w:cs="Tahoma"/>
                <w:color w:val="000000"/>
                <w:sz w:val="16"/>
                <w:szCs w:val="16"/>
              </w:rPr>
              <w:t xml:space="preserve">4,610</w:t>
            </w:r>
            <w:r>
              <w:rPr>
                <w:rFonts w:ascii="Tahoma" w:hAnsi="Tahoma" w:eastAsia="Tahoma" w:cs="Tahoma"/>
                <w:color w:val="000000"/>
                <w:sz w:val="16"/>
                <w:szCs w:val="16"/>
              </w:rPr>
            </w:r>
          </w:p>
        </w:tc>
        <w:tc>
          <w:tcPr>
            <w:tcW w:w="2010" w:type="dxa"/>
            <w:vAlign w:val="center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ahoma" w:hAnsi="Tahoma" w:eastAsia="Tahoma" w:cs="Tahoma"/>
                <w:color w:val="000000"/>
                <w:sz w:val="16"/>
              </w:rPr>
              <w:t xml:space="preserve">4,128</w:t>
            </w:r>
            <w:r/>
          </w:p>
        </w:tc>
        <w:tc>
          <w:tcPr>
            <w:tcW w:w="2035" w:type="dxa"/>
            <w:vAlign w:val="center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ahoma" w:hAnsi="Tahoma" w:eastAsia="Tahoma" w:cs="Tahoma"/>
                <w:color w:val="000000"/>
                <w:sz w:val="16"/>
              </w:rPr>
              <w:t xml:space="preserve">6,084</w:t>
            </w:r>
            <w:r/>
          </w:p>
        </w:tc>
        <w:tc>
          <w:tcPr>
            <w:tcW w:w="2035" w:type="dxa"/>
            <w:vAlign w:val="center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ahoma" w:hAnsi="Tahoma" w:eastAsia="Tahoma" w:cs="Tahoma"/>
                <w:color w:val="000000"/>
                <w:sz w:val="16"/>
              </w:rPr>
              <w:t xml:space="preserve">25,716</w:t>
            </w:r>
            <w:r/>
          </w:p>
        </w:tc>
        <w:tc>
          <w:tcPr>
            <w:tcW w:w="2014" w:type="dxa"/>
            <w:vAlign w:val="center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ahoma" w:hAnsi="Tahoma" w:eastAsia="Tahoma" w:cs="Tahoma"/>
                <w:color w:val="000000"/>
                <w:sz w:val="16"/>
              </w:rPr>
              <w:t xml:space="preserve">9,692</w:t>
            </w:r>
            <w:r/>
          </w:p>
        </w:tc>
      </w:tr>
      <w:tr>
        <w:trPr/>
        <w:tc>
          <w:tcPr>
            <w:tcW w:w="2177" w:type="dxa"/>
            <w:vMerge w:val="restart"/>
            <w:textDirection w:val="lrTb"/>
            <w:noWrap w:val="false"/>
          </w:tcPr>
          <w:p>
            <w:pPr>
              <w:jc w:val="both"/>
              <w:spacing w:before="390" w:after="315"/>
              <w:rPr>
                <w:rFonts w:ascii="Times New Roman" w:hAnsi="Times New Roman" w:eastAsia="Times New Roman"/>
                <w:b/>
                <w:bCs/>
              </w:rPr>
              <w:outlineLvl w:val="1"/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Полезный отпуск электроэнергии из сети (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млн.кВтч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) 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b/>
                <w:bCs/>
              </w:rPr>
            </w:r>
          </w:p>
        </w:tc>
        <w:tc>
          <w:tcPr>
            <w:tcW w:w="2062" w:type="dxa"/>
            <w:vAlign w:val="center"/>
            <w:vMerge w:val="restart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ahoma" w:hAnsi="Tahoma" w:eastAsia="Tahoma" w:cs="Tahoma"/>
                <w:color w:val="000000"/>
                <w:sz w:val="16"/>
              </w:rPr>
              <w:t xml:space="preserve">1 492 076,754</w:t>
            </w:r>
            <w:r/>
          </w:p>
        </w:tc>
        <w:tc>
          <w:tcPr>
            <w:tcW w:w="2010" w:type="dxa"/>
            <w:vAlign w:val="center"/>
            <w:vMerge w:val="restart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ahoma" w:hAnsi="Tahoma" w:eastAsia="Tahoma" w:cs="Tahoma"/>
                <w:color w:val="000000"/>
                <w:sz w:val="16"/>
              </w:rPr>
              <w:t xml:space="preserve">1 115 757,599</w:t>
            </w:r>
            <w:r/>
          </w:p>
        </w:tc>
        <w:tc>
          <w:tcPr>
            <w:tcW w:w="2035" w:type="dxa"/>
            <w:vAlign w:val="center"/>
            <w:vMerge w:val="restart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ahoma" w:hAnsi="Tahoma" w:eastAsia="Tahoma" w:cs="Tahoma"/>
                <w:color w:val="000000"/>
                <w:sz w:val="16"/>
              </w:rPr>
              <w:t xml:space="preserve">167 031,234</w:t>
            </w:r>
            <w:r/>
          </w:p>
        </w:tc>
        <w:tc>
          <w:tcPr>
            <w:tcW w:w="2035" w:type="dxa"/>
            <w:vAlign w:val="center"/>
            <w:vMerge w:val="restart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ahoma" w:hAnsi="Tahoma" w:eastAsia="Tahoma" w:cs="Tahoma"/>
                <w:color w:val="000000"/>
                <w:sz w:val="16"/>
              </w:rPr>
              <w:t xml:space="preserve">107 956,378</w:t>
            </w:r>
            <w:r/>
          </w:p>
        </w:tc>
        <w:tc>
          <w:tcPr>
            <w:tcW w:w="2014" w:type="dxa"/>
            <w:vAlign w:val="center"/>
            <w:vMerge w:val="restart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ahoma" w:hAnsi="Tahoma" w:eastAsia="Tahoma" w:cs="Tahoma"/>
                <w:color w:val="000000"/>
                <w:sz w:val="16"/>
              </w:rPr>
              <w:t xml:space="preserve">101 331,543</w:t>
            </w:r>
            <w:r/>
          </w:p>
        </w:tc>
      </w:tr>
      <w:tr>
        <w:trPr/>
        <w:tc>
          <w:tcPr>
            <w:tcW w:w="2177" w:type="dxa"/>
            <w:vMerge w:val="restart"/>
            <w:textDirection w:val="lrTb"/>
            <w:noWrap w:val="false"/>
          </w:tcPr>
          <w:p>
            <w:pPr>
              <w:jc w:val="both"/>
              <w:spacing w:before="390" w:after="315"/>
              <w:rPr>
                <w:rFonts w:ascii="Times New Roman" w:hAnsi="Times New Roman" w:eastAsia="Times New Roman"/>
                <w:b/>
                <w:bCs/>
              </w:rPr>
              <w:outlineLvl w:val="1"/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Полезный отпуск мощности (МВт)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b/>
                <w:bCs/>
              </w:rPr>
            </w:r>
          </w:p>
        </w:tc>
        <w:tc>
          <w:tcPr>
            <w:tcW w:w="2062" w:type="dxa"/>
            <w:vAlign w:val="center"/>
            <w:vMerge w:val="restart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ahoma" w:hAnsi="Tahoma" w:eastAsia="Tahoma" w:cs="Tahoma"/>
                <w:color w:val="000000"/>
                <w:sz w:val="16"/>
              </w:rPr>
              <w:t xml:space="preserve">194,235</w:t>
            </w:r>
            <w:r/>
          </w:p>
        </w:tc>
        <w:tc>
          <w:tcPr>
            <w:tcW w:w="2010" w:type="dxa"/>
            <w:vAlign w:val="center"/>
            <w:vMerge w:val="restart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ahoma" w:hAnsi="Tahoma" w:eastAsia="Tahoma" w:cs="Tahoma"/>
                <w:color w:val="000000"/>
                <w:sz w:val="16"/>
              </w:rPr>
              <w:t xml:space="preserve">145,245</w:t>
            </w:r>
            <w:r/>
          </w:p>
        </w:tc>
        <w:tc>
          <w:tcPr>
            <w:tcW w:w="2035" w:type="dxa"/>
            <w:vAlign w:val="center"/>
            <w:vMerge w:val="restart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ahoma" w:hAnsi="Tahoma" w:eastAsia="Tahoma" w:cs="Tahoma"/>
                <w:color w:val="000000"/>
                <w:sz w:val="16"/>
              </w:rPr>
              <w:t xml:space="preserve">21,743</w:t>
            </w:r>
            <w:r/>
          </w:p>
        </w:tc>
        <w:tc>
          <w:tcPr>
            <w:tcW w:w="2035" w:type="dxa"/>
            <w:vAlign w:val="center"/>
            <w:vMerge w:val="restart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ahoma" w:hAnsi="Tahoma" w:eastAsia="Tahoma" w:cs="Tahoma"/>
                <w:color w:val="000000"/>
                <w:sz w:val="16"/>
              </w:rPr>
              <w:t xml:space="preserve">14,056</w:t>
            </w:r>
            <w:r/>
          </w:p>
        </w:tc>
        <w:tc>
          <w:tcPr>
            <w:tcW w:w="2014" w:type="dxa"/>
            <w:vAlign w:val="center"/>
            <w:vMerge w:val="restart"/>
            <w:textDirection w:val="lrTb"/>
            <w:noWrap w:val="false"/>
          </w:tcPr>
          <w:p>
            <w:pPr>
              <w:jc w:val="right"/>
              <w:spacing w:before="0" w:after="0" w:line="57" w:lineRule="atLeast"/>
            </w:pPr>
            <w:r>
              <w:rPr>
                <w:rFonts w:ascii="Tahoma" w:hAnsi="Tahoma" w:eastAsia="Tahoma" w:cs="Tahoma"/>
                <w:color w:val="000000"/>
                <w:sz w:val="16"/>
              </w:rPr>
              <w:t xml:space="preserve">13,191</w:t>
            </w:r>
            <w:r/>
          </w:p>
        </w:tc>
      </w:tr>
    </w:tbl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об уровне нормативных потерь электроэнергии на текущий период с указанием источника опубликования решения об установлении уровня нормативных потерь</w:t>
      </w:r>
      <w:r/>
    </w:p>
    <w:tbl>
      <w:tblPr>
        <w:tblStyle w:val="604"/>
        <w:tblW w:w="0" w:type="auto"/>
        <w:tblLook w:val="04A0" w:firstRow="1" w:lastRow="0" w:firstColumn="1" w:lastColumn="0" w:noHBand="0" w:noVBand="1"/>
      </w:tblPr>
      <w:tblGrid>
        <w:gridCol w:w="4759"/>
        <w:gridCol w:w="4759"/>
        <w:gridCol w:w="4759"/>
      </w:tblGrid>
      <w:tr>
        <w:trPr/>
        <w:tc>
          <w:tcPr>
            <w:tcW w:w="47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сетевой организации</w:t>
            </w:r>
            <w:r/>
          </w:p>
        </w:tc>
        <w:tc>
          <w:tcPr>
            <w:tcW w:w="47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Норматив технологических потерь э/э (%)</w:t>
            </w:r>
            <w:r/>
          </w:p>
        </w:tc>
        <w:tc>
          <w:tcPr>
            <w:tcW w:w="47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Источник опубликования решения об установлении уровня нормативных потерь</w:t>
            </w:r>
            <w:r/>
          </w:p>
        </w:tc>
      </w:tr>
      <w:tr>
        <w:trPr/>
        <w:tc>
          <w:tcPr>
            <w:tcW w:w="47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ПКГУП «КЭС»</w:t>
            </w:r>
            <w:r>
              <w:rPr>
                <w:sz w:val="24"/>
                <w:szCs w:val="24"/>
              </w:rPr>
            </w:r>
          </w:p>
        </w:tc>
        <w:tc>
          <w:tcPr>
            <w:tcW w:w="47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12,39</w:t>
            </w:r>
            <w:r>
              <w:rPr>
                <w:sz w:val="24"/>
                <w:szCs w:val="24"/>
              </w:rPr>
            </w:r>
          </w:p>
        </w:tc>
        <w:tc>
          <w:tcPr>
            <w:tcW w:w="47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Постановление Министерства тарифного регулирования и энергетики Пермского края от 27.12.2023 № 21-э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hyperlink r:id="rId8" w:tooltip="https://www.permkrai.ru/npa/" w:history="1">
              <w:r>
                <w:rPr>
                  <w:rStyle w:val="174"/>
                  <w:rFonts w:ascii="Times New Roman" w:hAnsi="Times New Roman" w:eastAsia="Times New Roman" w:cs="Times New Roman"/>
                  <w:color w:val="0000ee"/>
                  <w:sz w:val="24"/>
                  <w:u w:val="single"/>
                </w:rPr>
                <w:t xml:space="preserve">Правовые акты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</w:tbl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6838" w:h="11906" w:orient="landscape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1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01"/>
    <w:link w:val="600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59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1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1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1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1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1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1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</w:style>
  <w:style w:type="paragraph" w:styleId="600">
    <w:name w:val="Heading 2"/>
    <w:basedOn w:val="599"/>
    <w:next w:val="599"/>
    <w:link w:val="605"/>
    <w:uiPriority w:val="9"/>
    <w:semiHidden/>
    <w:unhideWhenUsed/>
    <w:qFormat/>
    <w:pPr>
      <w:keepLines/>
      <w:keepNext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601" w:default="1">
    <w:name w:val="Default Paragraph Font"/>
    <w:uiPriority w:val="1"/>
    <w:semiHidden/>
    <w:unhideWhenUsed/>
  </w:style>
  <w:style w:type="table" w:styleId="6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3" w:default="1">
    <w:name w:val="No List"/>
    <w:uiPriority w:val="99"/>
    <w:semiHidden/>
    <w:unhideWhenUsed/>
  </w:style>
  <w:style w:type="table" w:styleId="604">
    <w:name w:val="Table Grid"/>
    <w:basedOn w:val="60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05" w:customStyle="1">
    <w:name w:val="Заголовок 2 Знак"/>
    <w:basedOn w:val="601"/>
    <w:link w:val="600"/>
    <w:uiPriority w:val="9"/>
    <w:semiHidden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www.permkrai.ru/npa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revision>4</cp:revision>
  <dcterms:created xsi:type="dcterms:W3CDTF">2025-02-09T07:14:00Z</dcterms:created>
  <dcterms:modified xsi:type="dcterms:W3CDTF">2025-03-04T09:39:38Z</dcterms:modified>
</cp:coreProperties>
</file>