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center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ПКГУП «КЭС»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1.1</w:t>
      </w:r>
      <w:r>
        <w:rPr>
          <w:rFonts w:ascii="Times New Roman" w:hAnsi="Times New Roman" w:cs="Times New Roman"/>
          <w:b/>
          <w:sz w:val="24"/>
          <w:szCs w:val="24"/>
        </w:rPr>
        <w:t xml:space="preserve">7. СОСТАВЛЕНИЕ АКТОВ СОГЛАСОВАНИЯ ТЕХНОЛОГИЧЕСКОЙ И (ИЛИ) АВАРИЙНОЙ БРОНИ</w:t>
      </w:r>
      <w:r/>
    </w:p>
    <w:p>
      <w:pPr>
        <w:pStyle w:val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энергопринимающие</w:t>
      </w:r>
      <w:r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ПКГУП «КЭС»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  <w:r/>
    </w:p>
    <w:p>
      <w:pPr>
        <w:pStyle w:val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лата не </w:t>
      </w:r>
      <w:r>
        <w:rPr>
          <w:rFonts w:ascii="Times New Roman" w:hAnsi="Times New Roman" w:cs="Times New Roman"/>
          <w:sz w:val="24"/>
          <w:szCs w:val="24"/>
        </w:rPr>
        <w:t xml:space="preserve">взимается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ПКГУП «КЭС»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заявителя</w:t>
      </w:r>
      <w:r>
        <w:rPr>
          <w:rFonts w:ascii="Times New Roman" w:hAnsi="Times New Roman" w:cs="Times New Roman"/>
          <w:sz w:val="24"/>
          <w:szCs w:val="24"/>
        </w:rPr>
        <w:t xml:space="preserve"> (непосредственно или опосредованно)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п.14.2 правил тех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 согласования технологической и (или) аварийной брони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sz w:val="24"/>
          <w:szCs w:val="24"/>
        </w:rPr>
        <w:t xml:space="preserve">10 рабочих дней со дня получения проекта акта согласования технологической и (или) аварийной брони акта. Срок рассмотрения Акта при проведении осмотра может быть продлен, но не более чем на 10 рабочих дней.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</w:t>
      </w:r>
      <w:r/>
    </w:p>
    <w:tbl>
      <w:tblPr>
        <w:tblStyle w:val="658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743"/>
        <w:gridCol w:w="2265"/>
        <w:gridCol w:w="1764"/>
        <w:gridCol w:w="2631"/>
      </w:tblGrid>
      <w:tr>
        <w:trPr>
          <w:tblHeader/>
        </w:trPr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bottom w:val="single" w:color="4F81BD" w:themeColor="accent1" w:sz="4" w:space="0"/>
            </w:tcBorders>
            <w:tcW w:w="1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d6e3bc" w:themeFill="accent3" w:themeFillTint="66"/>
            <w:tcBorders>
              <w:bottom w:val="single" w:color="4F81BD" w:themeColor="accent1" w:sz="4" w:space="0"/>
              <w:right w:val="single" w:color="FFFFFF" w:themeColor="background1" w:sz="4" w:space="0"/>
            </w:tcBorders>
            <w:tcW w:w="6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Этап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Условие этапа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Содержание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79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Форма предоставления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61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Срок исполнения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</w:tcBorders>
            <w:tcW w:w="9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Ссылка на нормативно правовой акт</w:t>
            </w:r>
            <w:r/>
          </w:p>
        </w:tc>
      </w:tr>
      <w:tr>
        <w:trPr/>
        <w:tc>
          <w:tcPr>
            <w:tcBorders>
              <w:top w:val="single" w:color="4F81BD" w:themeColor="accent1" w:sz="4" w:space="0"/>
            </w:tcBorders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4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08" w:type="pc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потребитель электрической энергии (мощности), ограничение режима потребления электрической энер</w:t>
            </w:r>
            <w:r>
              <w:rPr>
                <w:rFonts w:ascii="Times New Roman" w:hAnsi="Times New Roman" w:cs="Times New Roman"/>
              </w:rPr>
              <w:t xml:space="preserve">гии (мощности) которого может привести к возникновению угрозы жизни и здоровью людей, экологической безопасности, безопасности государства и (или) необратимому нарушению непрерывных технологических процессов, в том числе потребитель электрической энергии, </w:t>
            </w:r>
            <w:r>
              <w:rPr>
                <w:rFonts w:ascii="Times New Roman" w:hAnsi="Times New Roman" w:cs="Times New Roman"/>
              </w:rPr>
              <w:t xml:space="preserve">частичное или полное ограничение режима потребления электрической энергии (мощности) которого может привести к экономическим, экологическим, социальным последствиям, относящийся к категориям, определенным в </w:t>
            </w:r>
            <w:hyperlink r:id="rId10" w:tooltip="consultantplus://offline/ref=8BE787FB7E67490CC7CDF8BEB11CA19FA47532FF42E347AE732D3D2CA20FD932B8E1751173A9D99CPDnCI" w:history="1">
              <w:r>
                <w:rPr>
                  <w:rFonts w:ascii="Times New Roman" w:hAnsi="Times New Roman" w:cs="Times New Roman"/>
                </w:rPr>
                <w:t xml:space="preserve">приложении</w:t>
              </w:r>
            </w:hyperlink>
            <w:r>
              <w:rPr>
                <w:rFonts w:ascii="Times New Roman" w:hAnsi="Times New Roman" w:cs="Times New Roman"/>
              </w:rPr>
              <w:t xml:space="preserve"> к Правилам полного и (или) частичного ограничения режима потребления электрической энергии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5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потребителем проекта акта согласования технологической и (или) аварийной брони, как приложение к договору оказания услуг по передаче электрической энергии (мощности) 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791" w:type="pct"/>
            <w:textDirection w:val="lrTb"/>
            <w:noWrap w:val="false"/>
          </w:tcPr>
          <w:p>
            <w:pPr>
              <w:pStyle w:val="644"/>
              <w:ind w:left="34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Письменное оформление проекта акта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ограничен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п. 14(2)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(1) - 31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(4)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86"/>
        </w:trPr>
        <w:tc>
          <w:tcPr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2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Направление потребителем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(либо через ГП/ЭСК)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проекта Акта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Потребитель направляет проект акта технологической и (или) аварийной брони, в том числе через гарантирующего поставщика (</w:t>
            </w:r>
            <w:r>
              <w:rPr>
                <w:rFonts w:ascii="Times New Roman" w:hAnsi="Times New Roman" w:cs="Times New Roman"/>
              </w:rPr>
              <w:t xml:space="preserve">энергосбытовую</w:t>
            </w:r>
            <w:r>
              <w:rPr>
                <w:rFonts w:ascii="Times New Roman" w:hAnsi="Times New Roman" w:cs="Times New Roman"/>
              </w:rPr>
              <w:t xml:space="preserve"> организацию), с которым им заключен договор энергоснабжения, на рассмотрение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АО «КЭС КМР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  <w:tc>
          <w:tcPr>
            <w:tcW w:w="791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Письменная форма проекта Акта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ограничен</w:t>
            </w:r>
            <w:r/>
          </w:p>
        </w:tc>
        <w:tc>
          <w:tcPr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31(4)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ind w:left="-16" w:hanging="16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95"/>
        </w:trPr>
        <w:tc>
          <w:tcPr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3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Рассмотрение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проекта Акта  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Полученный от потребителя (ГП/ЭСО) проект акта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 рассмотрении проекта Акта сетевая организация вправе осуществить проверку представленных сведений с целью определения величин</w:t>
            </w:r>
            <w:r>
              <w:rPr>
                <w:rFonts w:ascii="Times New Roman" w:hAnsi="Times New Roman" w:cs="Times New Roman"/>
              </w:rPr>
              <w:t xml:space="preserve">ы наименьшей потребляемой мощности и продолжительности времени, необходимых потребителю электрической энергии для безопасного завершения технологического процесса, цикла производства, а также минимального расхода электрической энергии (наименьшей мощности)</w:t>
            </w:r>
            <w:r/>
          </w:p>
        </w:tc>
        <w:tc>
          <w:tcPr>
            <w:tcW w:w="791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очно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рабочих дней со дня получения проекта акта</w:t>
            </w:r>
            <w:r/>
          </w:p>
        </w:tc>
        <w:tc>
          <w:tcPr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31(4)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ind w:left="-16"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95"/>
        </w:trPr>
        <w:tc>
          <w:tcPr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 осмотра (обследования) энергопринимающих устройств потребителя электрической </w:t>
            </w:r>
            <w:r>
              <w:rPr>
                <w:rFonts w:ascii="Times New Roman" w:hAnsi="Times New Roman" w:cs="Times New Roman"/>
              </w:rPr>
              <w:t xml:space="preserve">энергии, объектов электроэнергетики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случае необходимости </w:t>
            </w:r>
            <w:r>
              <w:rPr>
                <w:rFonts w:ascii="Times New Roman" w:hAnsi="Times New Roman" w:cs="Times New Roman"/>
              </w:rPr>
              <w:t xml:space="preserve">сетевая организация вправе осуществить осмотр (обследование) энергопринимающих устройств потребителя электрической энергии, </w:t>
            </w:r>
            <w:r>
              <w:rPr>
                <w:rFonts w:ascii="Times New Roman" w:hAnsi="Times New Roman" w:cs="Times New Roman"/>
              </w:rPr>
              <w:t xml:space="preserve">объектов электроэнергетики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 xml:space="preserve">осмотр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(обследовани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) энергопринимающих устройств потребителя электрической энергии, объектов электроэнергетики на </w:t>
            </w:r>
            <w:r>
              <w:rPr>
                <w:rFonts w:ascii="Times New Roman" w:hAnsi="Times New Roman" w:cs="Times New Roman"/>
              </w:rPr>
              <w:t xml:space="preserve">соответствие требованиям, предусмотренным </w:t>
            </w:r>
            <w:hyperlink r:id="rId11" w:tooltip="consultantplus://offline/ref=6C893CEED4BD5151001E6F66E2F227DD92B6F6047CA4DF7B43E321664C0DD935B6875D09C1429CC8Y0m1J" w:history="1">
              <w:r>
                <w:rPr>
                  <w:rFonts w:ascii="Times New Roman" w:hAnsi="Times New Roman" w:cs="Times New Roman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разработки и применения </w:t>
            </w:r>
            <w:r>
              <w:rPr>
                <w:rFonts w:ascii="Times New Roman" w:hAnsi="Times New Roman" w:cs="Times New Roman"/>
              </w:rPr>
              <w:t xml:space="preserve">графиков аварийного ограничения режима потребления электрической энергии</w:t>
            </w:r>
            <w:r>
              <w:rPr>
                <w:rFonts w:ascii="Times New Roman" w:hAnsi="Times New Roman" w:cs="Times New Roman"/>
              </w:rPr>
              <w:t xml:space="preserve"> и использования </w:t>
            </w:r>
            <w:r>
              <w:rPr>
                <w:rFonts w:ascii="Times New Roman" w:hAnsi="Times New Roman" w:cs="Times New Roman"/>
              </w:rPr>
              <w:t xml:space="preserve">противоаварийной автоматики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утвержденны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приказом Минэнерго России от 06.06.2013 N 290</w:t>
            </w:r>
            <w:r/>
          </w:p>
        </w:tc>
        <w:tc>
          <w:tcPr>
            <w:tcW w:w="791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очно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рассмотрения </w:t>
            </w:r>
            <w:r>
              <w:rPr>
                <w:rFonts w:ascii="Times New Roman" w:hAnsi="Times New Roman" w:cs="Times New Roman"/>
              </w:rPr>
              <w:t xml:space="preserve">Акта</w:t>
            </w:r>
            <w:r>
              <w:rPr>
                <w:rFonts w:ascii="Times New Roman" w:hAnsi="Times New Roman" w:cs="Times New Roman"/>
              </w:rPr>
              <w:t xml:space="preserve"> 10 дней,</w:t>
            </w:r>
            <w:r>
              <w:rPr>
                <w:rFonts w:ascii="Times New Roman" w:hAnsi="Times New Roman" w:cs="Times New Roman"/>
              </w:rPr>
              <w:t xml:space="preserve"> при проведении осмотра </w:t>
            </w:r>
            <w:r>
              <w:rPr>
                <w:rFonts w:ascii="Times New Roman" w:hAnsi="Times New Roman" w:cs="Times New Roman"/>
              </w:rPr>
              <w:t xml:space="preserve">может быть продлен, но не более чем </w:t>
            </w:r>
            <w:r>
              <w:rPr>
                <w:rFonts w:ascii="Times New Roman" w:hAnsi="Times New Roman" w:cs="Times New Roman"/>
              </w:rPr>
              <w:t xml:space="preserve">на 10 рабочих дней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31(4)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технологического присоединения энергопринимающих устройств потребителей электрической энергии, объектов по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ind w:left="-16" w:hanging="16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ind w:left="-16" w:hanging="16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95"/>
        </w:trPr>
        <w:tc>
          <w:tcPr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5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 xml:space="preserve">потребителю </w:t>
            </w:r>
            <w:r>
              <w:rPr>
                <w:rFonts w:ascii="Times New Roman" w:hAnsi="Times New Roman" w:cs="Times New Roman"/>
              </w:rPr>
              <w:t xml:space="preserve">подписанного Акта </w:t>
            </w:r>
            <w:r>
              <w:rPr>
                <w:rFonts w:ascii="Times New Roman" w:hAnsi="Times New Roman" w:cs="Times New Roman"/>
              </w:rPr>
              <w:t xml:space="preserve">согласования </w:t>
            </w:r>
            <w:r>
              <w:rPr>
                <w:rFonts w:ascii="Times New Roman" w:hAnsi="Times New Roman" w:cs="Times New Roman"/>
              </w:rPr>
              <w:t xml:space="preserve">технологической и (или) аварийной брони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случае согласования Акта со стороны сетевой организации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подписанного Акта согласования технологической и (или) аварийной брони</w:t>
            </w:r>
            <w:r/>
          </w:p>
        </w:tc>
        <w:tc>
          <w:tcPr>
            <w:tcW w:w="791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Акт, подписанный со стороны сетевой организации, направляется способом</w:t>
            </w:r>
            <w:r>
              <w:rPr>
                <w:rFonts w:ascii="Times New Roman" w:hAnsi="Times New Roman" w:cs="Times New Roman"/>
              </w:rPr>
              <w:t xml:space="preserve">, позволяющим подтвердить факт получения 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10 рабочих дней со дня получения проекта указанного акта</w:t>
            </w:r>
            <w:r>
              <w:rPr>
                <w:rFonts w:ascii="Times New Roman" w:hAnsi="Times New Roman" w:cs="Times New Roman"/>
              </w:rPr>
              <w:t xml:space="preserve">. Срок рассмотрения Акта при проведении осмотра может быть продлен, но не более чем на 10 рабочих дней</w:t>
            </w:r>
            <w:r/>
          </w:p>
        </w:tc>
        <w:tc>
          <w:tcPr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31(4)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ind w:left="-16" w:hanging="16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95"/>
        </w:trPr>
        <w:tc>
          <w:tcPr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6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потребителю подписанного  А</w:t>
            </w:r>
            <w:r>
              <w:rPr>
                <w:rFonts w:ascii="Times New Roman" w:hAnsi="Times New Roman" w:cs="Times New Roman"/>
              </w:rPr>
              <w:t xml:space="preserve">кта с замечаниями</w:t>
            </w:r>
            <w:r>
              <w:rPr>
                <w:rFonts w:ascii="Times New Roman" w:hAnsi="Times New Roman" w:cs="Times New Roman"/>
              </w:rPr>
              <w:t xml:space="preserve"> сетевой организацией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 случае несогласия сетевой организации с представленным </w:t>
            </w:r>
            <w:r>
              <w:rPr>
                <w:rFonts w:ascii="Times New Roman" w:hAnsi="Times New Roman" w:cs="Times New Roman"/>
              </w:rPr>
              <w:t xml:space="preserve">потребителем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проектом 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кта согласования технологической и (или) аварийной брони</w:t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 случае если акт сог</w:t>
            </w:r>
            <w:r>
              <w:rPr>
                <w:rFonts w:ascii="Times New Roman" w:hAnsi="Times New Roman" w:cs="Times New Roman"/>
              </w:rPr>
              <w:t xml:space="preserve">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</w:t>
            </w:r>
            <w:r>
              <w:rPr>
                <w:rFonts w:ascii="Times New Roman" w:hAnsi="Times New Roman" w:cs="Times New Roman"/>
              </w:rPr>
              <w:t xml:space="preserve"> замечаниях сетевой организации</w:t>
            </w:r>
            <w:r/>
          </w:p>
        </w:tc>
        <w:tc>
          <w:tcPr>
            <w:tcW w:w="7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Акт, подписанный со стороны сетевой организации с замечаниями, направляется способом</w:t>
            </w:r>
            <w:r>
              <w:rPr>
                <w:rFonts w:ascii="Times New Roman" w:hAnsi="Times New Roman" w:cs="Times New Roman"/>
              </w:rPr>
              <w:t xml:space="preserve">, позволяющим подтвердить факт получения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Не позднее 10 рабочих дней со дня получения проекта акта. Срок рассмотрения Акта при проведении осмотра может быть продлен, но не более чем на 10 рабочих дней</w:t>
            </w:r>
            <w:r/>
          </w:p>
        </w:tc>
        <w:tc>
          <w:tcPr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31(4)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правил 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ind w:left="-16" w:hanging="1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  <w:tr>
        <w:trPr>
          <w:trHeight w:val="695"/>
        </w:trPr>
        <w:tc>
          <w:tcPr>
            <w:tcW w:w="1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7.</w:t>
            </w:r>
            <w:r/>
          </w:p>
        </w:tc>
        <w:tc>
          <w:tcPr>
            <w:tcW w:w="6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акта аварийной и технологиче</w:t>
            </w:r>
            <w:r>
              <w:rPr>
                <w:rFonts w:ascii="Times New Roman" w:hAnsi="Times New Roman" w:cs="Times New Roman"/>
              </w:rPr>
              <w:t xml:space="preserve">ской брон</w:t>
            </w:r>
            <w:r>
              <w:rPr>
                <w:rFonts w:ascii="Times New Roman" w:hAnsi="Times New Roman" w:cs="Times New Roman"/>
              </w:rPr>
              <w:t xml:space="preserve">и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при изменении схемы внутреннего электроснабжения потребителя и (или) категории надежности, если это не влечет изменение схемы внешнего электроснабжения энергопринимающих </w:t>
            </w:r>
            <w:r>
              <w:rPr>
                <w:rFonts w:ascii="Times New Roman" w:hAnsi="Times New Roman" w:cs="Times New Roman"/>
              </w:rPr>
              <w:t xml:space="preserve">устройств;</w:t>
            </w:r>
            <w:r/>
          </w:p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изменении технологического процесса осуществляемой с использованием энергопринимающих устройств деятельности;</w:t>
            </w:r>
            <w:r/>
          </w:p>
          <w:p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в других случаях, которые определяются при составлении акта.</w:t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5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Потребитель направляет проект акта технологической и (или) аварийной брони, в том числе через гарантирующего поставщика (</w:t>
            </w:r>
            <w:r>
              <w:rPr>
                <w:rFonts w:ascii="Times New Roman" w:hAnsi="Times New Roman" w:cs="Times New Roman"/>
              </w:rPr>
              <w:t xml:space="preserve">энергосбытовую</w:t>
            </w:r>
            <w:r>
              <w:rPr>
                <w:rFonts w:ascii="Times New Roman" w:hAnsi="Times New Roman" w:cs="Times New Roman"/>
              </w:rPr>
              <w:t xml:space="preserve"> организацию), с которым им заключен договор </w:t>
            </w:r>
            <w:r>
              <w:rPr>
                <w:rFonts w:ascii="Times New Roman" w:hAnsi="Times New Roman" w:cs="Times New Roman"/>
              </w:rPr>
              <w:t xml:space="preserve">энергоснабжения, на рассмотрение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Очно</w:t>
            </w:r>
            <w:r/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ограничен</w:t>
            </w:r>
            <w:r/>
          </w:p>
        </w:tc>
        <w:tc>
          <w:tcPr>
            <w:tcW w:w="91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П. 31(2)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электросетевого хозяйства, принадлежащих сетевым организациям и иным лицам, к электрическим сетям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утвержденных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Постановлением Правительства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</w:t>
            </w:r>
            <w:r/>
          </w:p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 27 декабря 2004 г. N 861</w:t>
            </w:r>
            <w:r/>
          </w:p>
          <w:p>
            <w:pPr>
              <w:ind w:left="-16" w:hanging="16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/>
    </w:p>
    <w:p>
      <w:pPr>
        <w:jc w:val="both"/>
        <w:spacing w:after="6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Номер телефонного центра обслуживания </w:t>
      </w:r>
      <w:r>
        <w:rPr>
          <w:rFonts w:ascii="Times New Roman" w:hAnsi="Times New Roman" w:cs="Times New Roman"/>
        </w:rPr>
        <w:t xml:space="preserve">ПКГУП «КЭС»</w:t>
      </w:r>
      <w:r>
        <w:rPr>
          <w:rFonts w:ascii="Times New Roman" w:hAnsi="Times New Roman" w:cs="Times New Roman"/>
        </w:rPr>
        <w:t xml:space="preserve"> в г. Кунгур 8(34271)20298; в г. Чернушка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8(34261)40909</w:t>
      </w:r>
      <w:r/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 xml:space="preserve">ПКГУП «КЭС» в г. Кунгур </w:t>
      </w:r>
      <w:r>
        <w:rPr>
          <w:rFonts w:ascii="Times New Roman" w:hAnsi="Times New Roman" w:cs="Times New Roman"/>
          <w:color w:val="auto"/>
          <w:sz w:val="24"/>
          <w:szCs w:val="24"/>
        </w:rPr>
      </w:r>
      <w:hyperlink r:id="rId12" w:tooltip="http://delo_kungur@chernseti.ru" w:history="1">
        <w:r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delo_kungur@chernseti.ru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Чернушка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info@chernseti.ru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9"/>
    <w:link w:val="63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9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9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9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55"/>
    <w:uiPriority w:val="99"/>
    <w:rPr>
      <w:sz w:val="18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paragraph" w:styleId="638">
    <w:name w:val="Heading 1"/>
    <w:basedOn w:val="637"/>
    <w:next w:val="637"/>
    <w:link w:val="66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paragraph" w:styleId="642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43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44">
    <w:name w:val="List Paragraph"/>
    <w:basedOn w:val="637"/>
    <w:uiPriority w:val="34"/>
    <w:qFormat/>
    <w:pPr>
      <w:contextualSpacing/>
      <w:ind w:left="720"/>
    </w:pPr>
  </w:style>
  <w:style w:type="paragraph" w:styleId="645">
    <w:name w:val="Balloon Text"/>
    <w:basedOn w:val="637"/>
    <w:link w:val="6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6" w:customStyle="1">
    <w:name w:val="Текст выноски Знак"/>
    <w:basedOn w:val="639"/>
    <w:link w:val="645"/>
    <w:uiPriority w:val="99"/>
    <w:semiHidden/>
    <w:rPr>
      <w:rFonts w:ascii="Tahoma" w:hAnsi="Tahoma" w:cs="Tahoma"/>
      <w:sz w:val="16"/>
      <w:szCs w:val="16"/>
    </w:rPr>
  </w:style>
  <w:style w:type="character" w:styleId="647">
    <w:name w:val="Strong"/>
    <w:basedOn w:val="639"/>
    <w:uiPriority w:val="22"/>
    <w:qFormat/>
    <w:rPr>
      <w:b/>
      <w:bCs/>
    </w:rPr>
  </w:style>
  <w:style w:type="paragraph" w:styleId="648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649">
    <w:name w:val="annotation reference"/>
    <w:basedOn w:val="639"/>
    <w:uiPriority w:val="99"/>
    <w:semiHidden/>
    <w:unhideWhenUsed/>
    <w:rPr>
      <w:sz w:val="16"/>
      <w:szCs w:val="16"/>
    </w:rPr>
  </w:style>
  <w:style w:type="paragraph" w:styleId="650">
    <w:name w:val="annotation text"/>
    <w:basedOn w:val="637"/>
    <w:link w:val="65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1" w:customStyle="1">
    <w:name w:val="Текст примечания Знак"/>
    <w:basedOn w:val="639"/>
    <w:link w:val="650"/>
    <w:uiPriority w:val="99"/>
    <w:semiHidden/>
    <w:rPr>
      <w:sz w:val="20"/>
      <w:szCs w:val="20"/>
    </w:rPr>
  </w:style>
  <w:style w:type="paragraph" w:styleId="652">
    <w:name w:val="annotation subject"/>
    <w:basedOn w:val="650"/>
    <w:next w:val="650"/>
    <w:link w:val="653"/>
    <w:uiPriority w:val="99"/>
    <w:semiHidden/>
    <w:unhideWhenUsed/>
    <w:rPr>
      <w:b/>
      <w:bCs/>
    </w:rPr>
  </w:style>
  <w:style w:type="character" w:styleId="653" w:customStyle="1">
    <w:name w:val="Тема примечания Знак"/>
    <w:basedOn w:val="651"/>
    <w:link w:val="652"/>
    <w:uiPriority w:val="99"/>
    <w:semiHidden/>
    <w:rPr>
      <w:b/>
      <w:bCs/>
      <w:sz w:val="20"/>
      <w:szCs w:val="20"/>
    </w:rPr>
  </w:style>
  <w:style w:type="table" w:styleId="654" w:customStyle="1">
    <w:name w:val="Светлая заливка - Акцент 11"/>
    <w:basedOn w:val="640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655">
    <w:name w:val="footnote text"/>
    <w:basedOn w:val="637"/>
    <w:link w:val="65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56" w:customStyle="1">
    <w:name w:val="Текст сноски Знак"/>
    <w:basedOn w:val="639"/>
    <w:link w:val="655"/>
    <w:uiPriority w:val="99"/>
    <w:semiHidden/>
    <w:rPr>
      <w:sz w:val="20"/>
      <w:szCs w:val="20"/>
    </w:rPr>
  </w:style>
  <w:style w:type="character" w:styleId="657">
    <w:name w:val="footnote reference"/>
    <w:basedOn w:val="639"/>
    <w:uiPriority w:val="99"/>
    <w:semiHidden/>
    <w:unhideWhenUsed/>
    <w:rPr>
      <w:vertAlign w:val="superscript"/>
    </w:rPr>
  </w:style>
  <w:style w:type="table" w:styleId="658" w:customStyle="1">
    <w:name w:val="Светлый список - Акцент 11"/>
    <w:basedOn w:val="640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659">
    <w:name w:val="Document Map"/>
    <w:basedOn w:val="637"/>
    <w:link w:val="6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0" w:customStyle="1">
    <w:name w:val="Схема документа Знак"/>
    <w:basedOn w:val="639"/>
    <w:link w:val="659"/>
    <w:uiPriority w:val="99"/>
    <w:semiHidden/>
    <w:rPr>
      <w:rFonts w:ascii="Tahoma" w:hAnsi="Tahoma" w:cs="Tahoma"/>
      <w:sz w:val="16"/>
      <w:szCs w:val="16"/>
    </w:rPr>
  </w:style>
  <w:style w:type="character" w:styleId="661" w:customStyle="1">
    <w:name w:val="Заголовок 1 Знак"/>
    <w:basedOn w:val="639"/>
    <w:link w:val="63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2" w:customStyle="1">
    <w:name w:val="Нормальный (таблица)"/>
    <w:basedOn w:val="637"/>
    <w:next w:val="637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character" w:styleId="663">
    <w:name w:val="Hyperlink"/>
    <w:basedOn w:val="63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BE787FB7E67490CC7CDF8BEB11CA19FA47532FF42E347AE732D3D2CA20FD932B8E1751173A9D99CPDnCI" TargetMode="External"/><Relationship Id="rId11" Type="http://schemas.openxmlformats.org/officeDocument/2006/relationships/hyperlink" Target="consultantplus://offline/ref=6C893CEED4BD5151001E6F66E2F227DD92B6F6047CA4DF7B43E321664C0DD935B6875D09C1429CC8Y0m1J" TargetMode="External"/><Relationship Id="rId12" Type="http://schemas.openxmlformats.org/officeDocument/2006/relationships/hyperlink" Target="http://delo_kungur@cherns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0D72-D89C-4F04-AC51-BACF186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revision>11</cp:revision>
  <dcterms:created xsi:type="dcterms:W3CDTF">2017-12-25T10:30:00Z</dcterms:created>
  <dcterms:modified xsi:type="dcterms:W3CDTF">2023-10-06T10:49:14Z</dcterms:modified>
</cp:coreProperties>
</file>